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1"/>
        <w:jc w:val="both"/>
        <w:rPr>
          <w:rFonts w:ascii="Calibri Light" w:hAnsi="Calibri Light"/>
          <w:sz w:val="36"/>
        </w:rPr>
      </w:pPr>
      <w:r>
        <w:rPr>
          <w:sz w:val="24"/>
        </w:rPr>
        <w:t xml:space="preserve">OGGETTO: APPROVAZIONE NOTA DI AGGIORNAMENTO AL DOCUMENTO UNICO DI PROGRAMMAZIONE (DUP) – PERIODO 2021/2023 (ART. 170, COMMA 1 , D. LGS. N. 267/2000) </w:t>
      </w:r>
    </w:p>
    <w:p>
      <w:pPr>
        <w:pStyle w:val="Titolo1"/>
        <w:rPr>
          <w:rFonts w:ascii="Calibri Light" w:hAnsi="Calibri Light"/>
          <w:sz w:val="28"/>
        </w:rPr>
      </w:pPr>
      <w:r>
        <w:rPr>
          <w:rFonts w:ascii="Calibri Light" w:hAnsi="Calibri Light"/>
          <w:sz w:val="28"/>
        </w:rPr>
      </w:r>
    </w:p>
    <w:p>
      <w:pPr>
        <w:pStyle w:val="Titolo1"/>
        <w:rPr>
          <w:sz w:val="24"/>
        </w:rPr>
      </w:pPr>
      <w:r>
        <w:rPr>
          <w:sz w:val="24"/>
        </w:rPr>
        <w:t>LA GIUNTA DELL’UNIONE</w:t>
      </w:r>
    </w:p>
    <w:p>
      <w:pPr>
        <w:pStyle w:val="Normal"/>
        <w:rPr>
          <w:rFonts w:ascii="Calibri Light" w:hAnsi="Calibri Light"/>
          <w:sz w:val="24"/>
        </w:rPr>
      </w:pPr>
      <w:r>
        <w:rPr>
          <w:rFonts w:ascii="Calibri Light" w:hAnsi="Calibri Light"/>
          <w:sz w:val="24"/>
        </w:rPr>
      </w:r>
    </w:p>
    <w:p>
      <w:pPr>
        <w:pStyle w:val="Standard"/>
        <w:widowControl w:val="false"/>
        <w:jc w:val="both"/>
        <w:rPr>
          <w:iCs/>
          <w:color w:val="000000"/>
          <w:sz w:val="24"/>
          <w:szCs w:val="24"/>
        </w:rPr>
      </w:pPr>
      <w:r>
        <w:rPr>
          <w:iCs/>
          <w:color w:val="000000"/>
          <w:sz w:val="24"/>
          <w:szCs w:val="24"/>
        </w:rPr>
        <w:t>PREMESSO che con D. Lgs. n. 118/2011 sono state recate nuove disposizioni in materia di armonizzazione dei sistemi contabili e degli schemi di bilancio delle Regioni, degli enti locali e dei loro organismi;</w:t>
      </w:r>
    </w:p>
    <w:p>
      <w:pPr>
        <w:pStyle w:val="Standard"/>
        <w:widowControl w:val="false"/>
        <w:jc w:val="both"/>
        <w:rPr>
          <w:iCs/>
          <w:color w:val="000000"/>
          <w:sz w:val="24"/>
          <w:szCs w:val="24"/>
        </w:rPr>
      </w:pPr>
      <w:r>
        <w:rPr>
          <w:iCs/>
          <w:color w:val="000000"/>
          <w:sz w:val="24"/>
          <w:szCs w:val="24"/>
        </w:rPr>
      </w:r>
    </w:p>
    <w:p>
      <w:pPr>
        <w:pStyle w:val="Standard"/>
        <w:widowControl w:val="false"/>
        <w:jc w:val="both"/>
        <w:rPr>
          <w:iCs/>
          <w:color w:val="000000"/>
          <w:sz w:val="24"/>
          <w:szCs w:val="24"/>
        </w:rPr>
      </w:pPr>
      <w:r>
        <w:rPr>
          <w:iCs/>
          <w:color w:val="000000"/>
          <w:sz w:val="24"/>
          <w:szCs w:val="24"/>
        </w:rPr>
        <w:t>CONSIDERATO che;</w:t>
      </w:r>
    </w:p>
    <w:p>
      <w:pPr>
        <w:pStyle w:val="Standard"/>
        <w:widowControl w:val="false"/>
        <w:numPr>
          <w:ilvl w:val="0"/>
          <w:numId w:val="1"/>
        </w:numPr>
        <w:jc w:val="both"/>
        <w:rPr>
          <w:iCs/>
          <w:color w:val="000000"/>
          <w:sz w:val="24"/>
          <w:szCs w:val="24"/>
        </w:rPr>
      </w:pPr>
      <w:r>
        <w:rPr>
          <w:iCs/>
          <w:color w:val="000000"/>
          <w:sz w:val="24"/>
          <w:szCs w:val="24"/>
        </w:rPr>
        <w:t>in particolare il nuovo principio contabile concernente la programmazione di bilancio, allegato n. 4/1 al D. Lgs. 118/2011, ha disciplinato il processo di programmazione dell’azione amministrativa degli enti locali prevedendo, tra gli strumenti di programmazione, il Documento Unico di Programmazione, di seguito D.U.P.;</w:t>
      </w:r>
    </w:p>
    <w:p>
      <w:pPr>
        <w:pStyle w:val="Standard"/>
        <w:widowControl w:val="false"/>
        <w:numPr>
          <w:ilvl w:val="0"/>
          <w:numId w:val="1"/>
        </w:numPr>
        <w:jc w:val="both"/>
        <w:rPr>
          <w:iCs/>
          <w:color w:val="000000"/>
          <w:sz w:val="24"/>
          <w:szCs w:val="24"/>
        </w:rPr>
      </w:pPr>
      <w:r>
        <w:rPr>
          <w:iCs/>
          <w:color w:val="000000"/>
          <w:sz w:val="24"/>
          <w:szCs w:val="24"/>
        </w:rPr>
        <w:t>il D.U.P. è lo strumento che permette l’attività di guida strategica ed operativa degli enti locali e consente di fronteggiare in modo permanente, sistemico e unitario le discontinuità ambientali ed organizzative;</w:t>
      </w:r>
    </w:p>
    <w:p>
      <w:pPr>
        <w:pStyle w:val="Standard"/>
        <w:widowControl w:val="false"/>
        <w:numPr>
          <w:ilvl w:val="0"/>
          <w:numId w:val="1"/>
        </w:numPr>
        <w:jc w:val="both"/>
        <w:rPr>
          <w:iCs/>
          <w:color w:val="000000"/>
          <w:sz w:val="24"/>
          <w:szCs w:val="24"/>
        </w:rPr>
      </w:pPr>
      <w:r>
        <w:rPr>
          <w:iCs/>
          <w:color w:val="000000"/>
          <w:sz w:val="24"/>
          <w:szCs w:val="24"/>
        </w:rPr>
        <w:t>il D.U.P. costituisce, nel rispetto del principio del coordinamento e coerenza dei documenti di bilancio, il presupposto necessario di tutti gli altri documenti di programmazione;</w:t>
      </w:r>
    </w:p>
    <w:p>
      <w:pPr>
        <w:pStyle w:val="Standard"/>
        <w:widowControl w:val="false"/>
        <w:numPr>
          <w:ilvl w:val="0"/>
          <w:numId w:val="1"/>
        </w:numPr>
        <w:jc w:val="both"/>
        <w:rPr>
          <w:iCs/>
          <w:color w:val="000000"/>
          <w:sz w:val="24"/>
          <w:szCs w:val="24"/>
        </w:rPr>
      </w:pPr>
      <w:r>
        <w:rPr>
          <w:iCs/>
          <w:color w:val="000000"/>
          <w:sz w:val="24"/>
          <w:szCs w:val="24"/>
        </w:rPr>
        <w:t>il D.U.P si compone di due sezioni: la sezione strategica (SeS) e la sezione operativa (SeO). La prima ha un orizzonte temporale di riferimento pari a quello del mandato amministrativo, la seconda pari a quello del bilancio di previsione;</w:t>
      </w:r>
    </w:p>
    <w:p>
      <w:pPr>
        <w:pStyle w:val="Standard"/>
        <w:widowControl w:val="false"/>
        <w:jc w:val="both"/>
        <w:rPr>
          <w:iCs/>
          <w:color w:val="000000"/>
          <w:sz w:val="24"/>
          <w:szCs w:val="24"/>
        </w:rPr>
      </w:pPr>
      <w:r>
        <w:rPr>
          <w:iCs/>
          <w:color w:val="000000"/>
          <w:sz w:val="24"/>
          <w:szCs w:val="24"/>
        </w:rPr>
      </w:r>
    </w:p>
    <w:p>
      <w:pPr>
        <w:pStyle w:val="Normal"/>
        <w:suppressAutoHyphens w:val="true"/>
        <w:spacing w:lineRule="auto" w:line="252"/>
        <w:jc w:val="both"/>
        <w:rPr>
          <w:color w:val="000000"/>
          <w:sz w:val="24"/>
          <w:szCs w:val="24"/>
        </w:rPr>
      </w:pPr>
      <w:r>
        <w:rPr>
          <w:color w:val="000000"/>
          <w:sz w:val="24"/>
          <w:szCs w:val="24"/>
        </w:rPr>
        <w:t>LETTO l’art.170 del D. Lgs. n° 267/2000, il quale recita testualmente: “</w:t>
      </w:r>
      <w:r>
        <w:rPr>
          <w:i/>
          <w:color w:val="000000"/>
          <w:sz w:val="24"/>
          <w:szCs w:val="24"/>
        </w:rPr>
        <w:t xml:space="preserve">1. Entro il 31 luglio di ciascun anno la Giunta presenta al Consiglio il   Documento   unico   di   programmazione   per   le   conseguenti deliberazioni. Entro il 15 novembre di ciascun anno, con lo schema di delibera del bilancio di previsione finanziario, la  Giunta  presenta al  Consiglio  la  nota  di  aggiornamento  del  Documento  unico  di programmazione. Con   riferimento   al   periodo   di   programmazione decorrente dall'esercizio 2015, gli enti locali non sono tenuti  alla predisposizione del documento unico di programmazione e  allegano  al bilancio  annuale  di  previsione  una   relazione   previsionale   e programmatica che  copra  un  periodo  pari  a  quello  del  bilancio pluriennale, secondo le modalità previste dall'ordinamento contabile vigente  nell'esercizio   2014.   Il   primo   documento   unico   di programmazione e' adottato  con  riferimento  agli  esercizi  2016  e successivi. Gli  enti  che  hanno  partecipato  alla  sperimentazione adottano la disciplina prevista dal presente articolo a decorrere dal 1° gennaio 2015.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t xml:space="preserve">2. Il Documento unico  di  programmazione  ha  carattere  generale  e costituisce la guida strategica ed operativa dell'ente.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t xml:space="preserve">3. Il Documento unico di programmazione si compone di due sezioni: la Sezione strategica e la Sezione operativa. La prima ha  un  orizzonte temporale di riferimento pari a quello del mandato amministrativo, la seconda pari a quello del bilancio di previsione.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t xml:space="preserve">4. Il documento unico di programmazione è predisposto  nel  rispetto di quanto previsto dal principio applicato  della  programmazione  di cui all'allegato n. 4/1 del decreto legislativo 23  giugno  2011,  n. 118, e successive modificazioni.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t xml:space="preserve">5. Il Documento unico di programmazione costituisce atto  presupposto indispensabile per l'approvazione del bilancio di previsione.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t>6.  Gli  enti  locali  con  popolazione   fino   a   5.000   abitanti predispongono  il  Documento  unico  di  programmazione  semplificato previsto dall'allegato n. 4/1 del decreto legislativo 23 giugno 2011, n. 118, e successive modificazioni”</w:t>
      </w:r>
      <w:r>
        <w:rPr>
          <w:color w:val="000000"/>
          <w:sz w:val="24"/>
          <w:szCs w:val="24"/>
        </w:rPr>
        <w:t>;</w:t>
      </w:r>
      <w:r>
        <w:rPr>
          <w:i/>
          <w:color w:val="000000"/>
          <w:sz w:val="24"/>
          <w:szCs w:val="24"/>
        </w:rPr>
        <w:t xml:space="preserve"> </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i/>
          <w:i/>
          <w:color w:val="000000"/>
          <w:sz w:val="24"/>
          <w:szCs w:val="24"/>
        </w:rPr>
      </w:pPr>
      <w:r>
        <w:rPr>
          <w:i/>
          <w:color w:val="000000"/>
          <w:sz w:val="24"/>
          <w:szCs w:val="24"/>
        </w:rPr>
      </w:r>
    </w:p>
    <w:p>
      <w:pPr>
        <w:pStyle w:val="Normal"/>
        <w:suppressAutoHyphens w:val="true"/>
        <w:spacing w:lineRule="auto" w:line="252"/>
        <w:jc w:val="both"/>
        <w:rPr>
          <w:color w:val="000000"/>
          <w:sz w:val="24"/>
          <w:szCs w:val="24"/>
        </w:rPr>
      </w:pPr>
      <w:r>
        <w:rPr>
          <w:color w:val="000000"/>
          <w:sz w:val="24"/>
          <w:szCs w:val="24"/>
        </w:rPr>
        <w:t>RICHIAMATO il D.Lgs. n.118/2011, ed in particolare il principio contabile della programmazione all.4/1;</w:t>
      </w:r>
    </w:p>
    <w:p>
      <w:pPr>
        <w:pStyle w:val="Normal"/>
        <w:suppressAutoHyphens w:val="true"/>
        <w:spacing w:lineRule="auto" w:line="252"/>
        <w:jc w:val="both"/>
        <w:rPr>
          <w:color w:val="000000"/>
          <w:sz w:val="24"/>
          <w:szCs w:val="24"/>
        </w:rPr>
      </w:pPr>
      <w:r>
        <w:rPr>
          <w:color w:val="000000"/>
          <w:sz w:val="24"/>
          <w:szCs w:val="24"/>
        </w:rPr>
      </w:r>
    </w:p>
    <w:p>
      <w:pPr>
        <w:pStyle w:val="Normal"/>
        <w:suppressAutoHyphens w:val="true"/>
        <w:spacing w:lineRule="auto" w:line="252"/>
        <w:jc w:val="both"/>
        <w:rPr>
          <w:color w:val="000000"/>
          <w:sz w:val="24"/>
          <w:szCs w:val="24"/>
        </w:rPr>
      </w:pPr>
      <w:r>
        <w:rPr>
          <w:color w:val="000000"/>
          <w:sz w:val="24"/>
          <w:szCs w:val="24"/>
        </w:rPr>
        <w:t>DATO ATTO che questo ente, avendo i comuni aderenti una popolazione totale inferiore a 5.000 abitanti, può predisporre il DUP semplificato, secondo le indicazioni contenute nel citato principio contabile all.4/1;</w:t>
      </w:r>
    </w:p>
    <w:p>
      <w:pPr>
        <w:pStyle w:val="Standard"/>
        <w:widowControl w:val="false"/>
        <w:ind w:left="360" w:hanging="0"/>
        <w:jc w:val="both"/>
        <w:rPr>
          <w:iCs/>
          <w:color w:val="000000"/>
          <w:sz w:val="24"/>
          <w:szCs w:val="24"/>
        </w:rPr>
      </w:pPr>
      <w:r>
        <w:rPr>
          <w:iCs/>
          <w:color w:val="000000"/>
          <w:sz w:val="24"/>
          <w:szCs w:val="24"/>
        </w:rPr>
      </w:r>
    </w:p>
    <w:p>
      <w:pPr>
        <w:pStyle w:val="Standard"/>
        <w:widowControl w:val="false"/>
        <w:jc w:val="both"/>
        <w:rPr>
          <w:iCs/>
          <w:color w:val="000000"/>
          <w:sz w:val="24"/>
          <w:szCs w:val="24"/>
        </w:rPr>
      </w:pPr>
      <w:r>
        <w:rPr>
          <w:iCs/>
          <w:color w:val="000000"/>
          <w:sz w:val="24"/>
          <w:szCs w:val="24"/>
        </w:rPr>
        <w:t>VISTO il D. Lgs. n. 267/2000;</w:t>
      </w:r>
    </w:p>
    <w:p>
      <w:pPr>
        <w:pStyle w:val="Standard"/>
        <w:widowControl w:val="false"/>
        <w:jc w:val="both"/>
        <w:rPr>
          <w:iCs/>
          <w:color w:val="000000"/>
          <w:sz w:val="24"/>
          <w:szCs w:val="24"/>
        </w:rPr>
      </w:pPr>
      <w:r>
        <w:rPr>
          <w:iCs/>
          <w:color w:val="000000"/>
          <w:sz w:val="24"/>
          <w:szCs w:val="24"/>
        </w:rPr>
      </w:r>
    </w:p>
    <w:p>
      <w:pPr>
        <w:pStyle w:val="Standard"/>
        <w:widowControl w:val="false"/>
        <w:jc w:val="both"/>
        <w:rPr>
          <w:iCs/>
          <w:color w:val="000000"/>
          <w:sz w:val="24"/>
          <w:szCs w:val="24"/>
        </w:rPr>
      </w:pPr>
      <w:r>
        <w:rPr>
          <w:iCs/>
          <w:color w:val="000000"/>
          <w:sz w:val="24"/>
          <w:szCs w:val="24"/>
        </w:rPr>
        <w:t>VISTO il vigente Statuto comunale;</w:t>
      </w:r>
    </w:p>
    <w:p>
      <w:pPr>
        <w:pStyle w:val="Standard"/>
        <w:widowControl w:val="false"/>
        <w:jc w:val="both"/>
        <w:rPr>
          <w:iCs/>
          <w:color w:val="000000"/>
          <w:sz w:val="24"/>
          <w:szCs w:val="24"/>
        </w:rPr>
      </w:pPr>
      <w:r>
        <w:rPr>
          <w:iCs/>
          <w:color w:val="000000"/>
          <w:sz w:val="24"/>
          <w:szCs w:val="24"/>
        </w:rPr>
      </w:r>
    </w:p>
    <w:p>
      <w:pPr>
        <w:pStyle w:val="Standard"/>
        <w:jc w:val="both"/>
        <w:rPr/>
      </w:pPr>
      <w:r>
        <w:rPr>
          <w:iCs/>
          <w:color w:val="000000"/>
          <w:sz w:val="24"/>
          <w:szCs w:val="24"/>
        </w:rPr>
        <w:t>VISTI i pareri favorevoli di regolarità tecnica e contabile espressi dal Responsabile della Struttura 1 ai sensi dell’art. 49 D. Lgs n. 267/2000 in atti;</w:t>
      </w:r>
    </w:p>
    <w:p>
      <w:pPr>
        <w:pStyle w:val="Standard"/>
        <w:jc w:val="both"/>
        <w:rPr>
          <w:iCs/>
          <w:color w:val="000000"/>
          <w:sz w:val="24"/>
          <w:szCs w:val="24"/>
        </w:rPr>
      </w:pPr>
      <w:r>
        <w:rPr/>
      </w:r>
    </w:p>
    <w:p>
      <w:pPr>
        <w:pStyle w:val="Standard"/>
        <w:jc w:val="both"/>
        <w:rPr/>
      </w:pPr>
      <w:r>
        <w:rPr>
          <w:iCs/>
          <w:color w:val="000000"/>
          <w:sz w:val="24"/>
          <w:szCs w:val="24"/>
        </w:rPr>
        <w:t xml:space="preserve">VISTO il parere dell’Organo di revisione reso ai sensi dell’art. 239 D. Lgs. n. 267/2000 e registrato al prot. n. </w:t>
      </w:r>
    </w:p>
    <w:p>
      <w:pPr>
        <w:pStyle w:val="Standard"/>
        <w:jc w:val="both"/>
        <w:rPr>
          <w:iCs/>
          <w:color w:val="000000"/>
          <w:sz w:val="24"/>
          <w:szCs w:val="24"/>
        </w:rPr>
      </w:pPr>
      <w:r>
        <w:rPr>
          <w:iCs/>
          <w:color w:val="000000"/>
          <w:sz w:val="24"/>
          <w:szCs w:val="24"/>
        </w:rPr>
      </w:r>
    </w:p>
    <w:p>
      <w:pPr>
        <w:pStyle w:val="Standard"/>
        <w:jc w:val="both"/>
        <w:rPr>
          <w:iCs/>
          <w:color w:val="000000"/>
          <w:sz w:val="24"/>
          <w:szCs w:val="24"/>
        </w:rPr>
      </w:pPr>
      <w:r>
        <w:rPr>
          <w:iCs/>
          <w:color w:val="000000"/>
          <w:sz w:val="24"/>
          <w:szCs w:val="24"/>
        </w:rPr>
      </w:r>
    </w:p>
    <w:p>
      <w:pPr>
        <w:pStyle w:val="Standard"/>
        <w:jc w:val="both"/>
        <w:rPr>
          <w:iCs/>
          <w:color w:val="000000"/>
          <w:sz w:val="24"/>
          <w:szCs w:val="24"/>
        </w:rPr>
      </w:pPr>
      <w:r>
        <w:rPr>
          <w:iCs/>
          <w:color w:val="000000"/>
          <w:sz w:val="24"/>
          <w:szCs w:val="24"/>
        </w:rPr>
        <w:t>Con voti unanimi espressi nei modi di legge</w:t>
      </w:r>
    </w:p>
    <w:p>
      <w:pPr>
        <w:pStyle w:val="Standard"/>
        <w:jc w:val="both"/>
        <w:rPr>
          <w:iCs/>
          <w:color w:val="000000"/>
          <w:sz w:val="24"/>
          <w:szCs w:val="24"/>
        </w:rPr>
      </w:pPr>
      <w:r>
        <w:rPr>
          <w:iCs/>
          <w:color w:val="000000"/>
          <w:sz w:val="24"/>
          <w:szCs w:val="24"/>
        </w:rPr>
      </w:r>
    </w:p>
    <w:p>
      <w:pPr>
        <w:pStyle w:val="Standard"/>
        <w:widowControl w:val="false"/>
        <w:ind w:left="4380" w:hanging="0"/>
        <w:jc w:val="both"/>
        <w:rPr>
          <w:iCs/>
          <w:color w:val="000000"/>
          <w:sz w:val="24"/>
          <w:szCs w:val="24"/>
        </w:rPr>
      </w:pPr>
      <w:r>
        <w:rPr>
          <w:iCs/>
          <w:color w:val="000000"/>
          <w:sz w:val="24"/>
          <w:szCs w:val="24"/>
        </w:rPr>
        <w:t>DELIBERA</w:t>
      </w:r>
    </w:p>
    <w:p>
      <w:pPr>
        <w:pStyle w:val="Standard"/>
        <w:widowControl w:val="false"/>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t>1. di approvare la nota di aggiornamento al Documento Unico di Programmazione 2021-2023;</w:t>
      </w:r>
    </w:p>
    <w:p>
      <w:pPr>
        <w:pStyle w:val="Normal"/>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t>2. di trasmettere il presente atto comprensivo di tutti gli allegati al Consiglio comunale come prescritto dall’art. 170 del D. Lgs. n. 267/2000;</w:t>
      </w:r>
    </w:p>
    <w:p>
      <w:pPr>
        <w:pStyle w:val="Normal"/>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t>3. di pubblicare il presente atto all’Albo pretorio dell’ente;</w:t>
      </w:r>
    </w:p>
    <w:p>
      <w:pPr>
        <w:pStyle w:val="Normal"/>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r>
    </w:p>
    <w:p>
      <w:pPr>
        <w:pStyle w:val="Normal"/>
        <w:jc w:val="both"/>
        <w:rPr/>
      </w:pPr>
      <w:r>
        <w:rPr>
          <w:sz w:val="24"/>
          <w:szCs w:val="24"/>
        </w:rPr>
        <w:t>Successivamente, ravvisata l’urgenza, con separata votazione</w:t>
      </w:r>
    </w:p>
    <w:p>
      <w:pPr>
        <w:pStyle w:val="Normal"/>
        <w:jc w:val="both"/>
        <w:rPr>
          <w:iCs/>
          <w:color w:val="000000"/>
          <w:sz w:val="24"/>
          <w:szCs w:val="24"/>
        </w:rPr>
      </w:pPr>
      <w:r>
        <w:rPr>
          <w:iCs/>
          <w:color w:val="000000"/>
          <w:sz w:val="24"/>
          <w:szCs w:val="24"/>
        </w:rPr>
      </w:r>
    </w:p>
    <w:p>
      <w:pPr>
        <w:pStyle w:val="Normal"/>
        <w:jc w:val="center"/>
        <w:rPr>
          <w:iCs/>
          <w:color w:val="000000"/>
          <w:sz w:val="24"/>
          <w:szCs w:val="24"/>
        </w:rPr>
      </w:pPr>
      <w:r>
        <w:rPr>
          <w:iCs/>
          <w:color w:val="000000"/>
          <w:sz w:val="24"/>
          <w:szCs w:val="24"/>
        </w:rPr>
        <w:t>DELIBERA</w:t>
      </w:r>
    </w:p>
    <w:p>
      <w:pPr>
        <w:pStyle w:val="Normal"/>
        <w:jc w:val="both"/>
        <w:rPr>
          <w:iCs/>
          <w:color w:val="000000"/>
          <w:sz w:val="24"/>
          <w:szCs w:val="24"/>
        </w:rPr>
      </w:pPr>
      <w:r>
        <w:rPr>
          <w:iCs/>
          <w:color w:val="000000"/>
          <w:sz w:val="24"/>
          <w:szCs w:val="24"/>
        </w:rPr>
      </w:r>
    </w:p>
    <w:p>
      <w:pPr>
        <w:pStyle w:val="Normal"/>
        <w:jc w:val="both"/>
        <w:rPr>
          <w:iCs/>
          <w:color w:val="000000"/>
          <w:sz w:val="24"/>
          <w:szCs w:val="24"/>
        </w:rPr>
      </w:pPr>
      <w:r>
        <w:rPr>
          <w:iCs/>
          <w:color w:val="000000"/>
          <w:sz w:val="24"/>
          <w:szCs w:val="24"/>
        </w:rPr>
        <w:t>di dichiarare il presente provvedimento immediatamente eseguibile, ai sensi dell’articolo 134, comma 4, del D. Lgs n.267/2000.</w:t>
      </w:r>
    </w:p>
    <w:p>
      <w:pPr>
        <w:pStyle w:val="Normal"/>
        <w:jc w:val="both"/>
        <w:rPr/>
      </w:pPr>
      <w:r>
        <w:rPr/>
      </w:r>
    </w:p>
    <w:sectPr>
      <w:type w:val="nextPage"/>
      <w:pgSz w:w="11906" w:h="16838"/>
      <w:pgMar w:left="1134" w:right="1134"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New">
    <w:charset w:val="00"/>
    <w:family w:val="roman"/>
    <w:pitch w:val="variable"/>
  </w:font>
  <w:font w:name="Liberation Sans">
    <w:altName w:val="Arial"/>
    <w:charset w:val="00"/>
    <w:family w:val="swiss"/>
    <w:pitch w:val="variable"/>
  </w:font>
  <w:font w:name="Calibri Light">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4589"/>
    <w:pPr>
      <w:widowControl/>
      <w:bidi w:val="0"/>
      <w:spacing w:lineRule="auto" w:line="240" w:before="0" w:after="0"/>
      <w:jc w:val="left"/>
    </w:pPr>
    <w:rPr>
      <w:rFonts w:ascii="Times New Roman" w:hAnsi="Times New Roman" w:eastAsia="Times New Roman" w:cs="Times New Roman"/>
      <w:color w:val="auto"/>
      <w:kern w:val="0"/>
      <w:sz w:val="20"/>
      <w:szCs w:val="20"/>
      <w:lang w:eastAsia="it-IT" w:val="it-IT" w:bidi="ar-SA"/>
    </w:rPr>
  </w:style>
  <w:style w:type="paragraph" w:styleId="Titolo1">
    <w:name w:val="Heading 1"/>
    <w:basedOn w:val="Normal"/>
    <w:next w:val="Normal"/>
    <w:link w:val="Titolo1Carattere"/>
    <w:qFormat/>
    <w:rsid w:val="00264589"/>
    <w:pPr>
      <w:keepNext w:val="true"/>
      <w:jc w:val="center"/>
      <w:outlineLvl w:val="0"/>
    </w:pPr>
    <w:rPr>
      <w:b/>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qFormat/>
    <w:rsid w:val="00264589"/>
    <w:rPr>
      <w:rFonts w:ascii="Times New Roman" w:hAnsi="Times New Roman" w:eastAsia="Times New Roman" w:cs="Times New Roman"/>
      <w:b/>
      <w:sz w:val="20"/>
      <w:szCs w:val="20"/>
      <w:lang w:eastAsia="it-IT"/>
    </w:rPr>
  </w:style>
  <w:style w:type="character" w:styleId="PreformattatoHTMLCarattere" w:customStyle="1">
    <w:name w:val="Preformattato HTML Carattere"/>
    <w:basedOn w:val="DefaultParagraphFont"/>
    <w:link w:val="PreformattatoHTML"/>
    <w:uiPriority w:val="99"/>
    <w:semiHidden/>
    <w:qFormat/>
    <w:rsid w:val="00181cec"/>
    <w:rPr>
      <w:rFonts w:ascii="Courier New" w:hAnsi="Courier New" w:eastAsia="Times New Roman" w:cs="Courier New"/>
      <w:sz w:val="20"/>
      <w:szCs w:val="20"/>
      <w:lang w:eastAsia="it-IT"/>
    </w:rPr>
  </w:style>
  <w:style w:type="character" w:styleId="Strong">
    <w:name w:val="Strong"/>
    <w:basedOn w:val="DefaultParagraphFont"/>
    <w:uiPriority w:val="22"/>
    <w:qFormat/>
    <w:rsid w:val="00181cec"/>
    <w:rPr>
      <w:b/>
      <w:bC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HTMLPreformatted">
    <w:name w:val="HTML Preformatted"/>
    <w:basedOn w:val="Normal"/>
    <w:link w:val="PreformattatoHTMLCarattere"/>
    <w:uiPriority w:val="99"/>
    <w:semiHidden/>
    <w:unhideWhenUsed/>
    <w:qFormat/>
    <w:rsid w:val="00181ce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rPr>
  </w:style>
  <w:style w:type="paragraph" w:styleId="Standard" w:customStyle="1">
    <w:name w:val="Standard"/>
    <w:qFormat/>
    <w:rsid w:val="00c17553"/>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eastAsia="it-IT" w:val="it-IT" w:bidi="ar-SA"/>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Application>LibreOffice/6.3.4.2$Windows_X86_64 LibreOffice_project/60da17e045e08f1793c57c00ba83cdfce946d0aa</Application>
  <Pages>2</Pages>
  <Words>671</Words>
  <Characters>3912</Characters>
  <CharactersWithSpaces>4677</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2021-01-07T12:06:00Z</dcterms:created>
  <dc:creator>PROTOCOLLO</dc:creator>
  <dc:description/>
  <dc:language>it-IT</dc:language>
  <cp:lastModifiedBy/>
  <dcterms:modified xsi:type="dcterms:W3CDTF">2021-01-11T12:48:39Z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