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E8" w:rsidRDefault="00D94F56">
      <w:pPr>
        <w:pStyle w:val="Heading1"/>
        <w:jc w:val="both"/>
        <w:rPr>
          <w:rFonts w:ascii="Calibri Light" w:hAnsi="Calibri Light"/>
          <w:sz w:val="36"/>
        </w:rPr>
      </w:pPr>
      <w:r>
        <w:rPr>
          <w:sz w:val="24"/>
        </w:rPr>
        <w:t xml:space="preserve">OGGETTO: APPROVAZIONE DEL BILANCIO </w:t>
      </w: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PREVISIONE </w:t>
      </w:r>
      <w:r w:rsidR="00E91890">
        <w:rPr>
          <w:sz w:val="24"/>
        </w:rPr>
        <w:t>2022-2024</w:t>
      </w:r>
    </w:p>
    <w:p w:rsidR="00D04CE8" w:rsidRDefault="00D04CE8">
      <w:pPr>
        <w:pStyle w:val="Heading1"/>
        <w:rPr>
          <w:b w:val="0"/>
          <w:sz w:val="32"/>
          <w:szCs w:val="24"/>
        </w:rPr>
      </w:pPr>
    </w:p>
    <w:p w:rsidR="00D04CE8" w:rsidRDefault="00D94F56">
      <w:pPr>
        <w:pStyle w:val="Heading1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L’ASSEMBLEA DELL’UNIONE</w:t>
      </w:r>
    </w:p>
    <w:p w:rsidR="00D04CE8" w:rsidRDefault="00D04CE8">
      <w:pPr>
        <w:rPr>
          <w:rFonts w:ascii="Calibri Light" w:hAnsi="Calibri Light"/>
          <w:sz w:val="24"/>
        </w:rPr>
      </w:pP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Premesso che il bilancio previsionale </w:t>
      </w:r>
      <w:r w:rsidR="00E91890">
        <w:rPr>
          <w:sz w:val="24"/>
          <w:szCs w:val="24"/>
        </w:rPr>
        <w:t xml:space="preserve">2022-2024 </w:t>
      </w:r>
      <w:r>
        <w:rPr>
          <w:sz w:val="24"/>
          <w:szCs w:val="24"/>
        </w:rPr>
        <w:t xml:space="preserve">viene redatto secondo i principi contabili di cui al D. Lgs 118/2011, così come modificato dal D. Lgs. n.126/2014; 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Richiamate:</w:t>
      </w:r>
    </w:p>
    <w:p w:rsidR="00D04CE8" w:rsidRDefault="00D94F56">
      <w:pPr>
        <w:jc w:val="both"/>
      </w:pPr>
      <w:r>
        <w:rPr>
          <w:sz w:val="24"/>
          <w:szCs w:val="24"/>
        </w:rPr>
        <w:t xml:space="preserve">-  la deliberazione di giunta dell’Unione n° </w:t>
      </w:r>
      <w:r w:rsidR="006408CD">
        <w:rPr>
          <w:sz w:val="24"/>
          <w:szCs w:val="24"/>
        </w:rPr>
        <w:t>12</w:t>
      </w:r>
      <w:r>
        <w:rPr>
          <w:sz w:val="24"/>
          <w:szCs w:val="24"/>
        </w:rPr>
        <w:t xml:space="preserve"> del </w:t>
      </w:r>
      <w:r w:rsidR="006408CD">
        <w:rPr>
          <w:sz w:val="24"/>
          <w:szCs w:val="24"/>
        </w:rPr>
        <w:t>12</w:t>
      </w:r>
      <w:r w:rsidR="00E91890">
        <w:rPr>
          <w:sz w:val="24"/>
          <w:szCs w:val="24"/>
        </w:rPr>
        <w:t>/</w:t>
      </w:r>
      <w:r w:rsidR="006408CD">
        <w:rPr>
          <w:sz w:val="24"/>
          <w:szCs w:val="24"/>
        </w:rPr>
        <w:t>07</w:t>
      </w:r>
      <w:r>
        <w:rPr>
          <w:sz w:val="24"/>
          <w:szCs w:val="24"/>
        </w:rPr>
        <w:t>/</w:t>
      </w:r>
      <w:r w:rsidR="006408CD">
        <w:rPr>
          <w:sz w:val="24"/>
          <w:szCs w:val="24"/>
        </w:rPr>
        <w:t>2021</w:t>
      </w:r>
      <w:r>
        <w:rPr>
          <w:sz w:val="24"/>
          <w:szCs w:val="24"/>
        </w:rPr>
        <w:t xml:space="preserve"> con la quale è stato approvato il Documento unico di programmazione 202</w:t>
      </w:r>
      <w:r w:rsidR="00E91890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E91890">
        <w:rPr>
          <w:sz w:val="24"/>
          <w:szCs w:val="24"/>
        </w:rPr>
        <w:t>4</w:t>
      </w:r>
      <w:r>
        <w:rPr>
          <w:sz w:val="24"/>
          <w:szCs w:val="24"/>
        </w:rPr>
        <w:t>;</w:t>
      </w:r>
    </w:p>
    <w:p w:rsidR="00D04CE8" w:rsidRDefault="00D94F56">
      <w:pPr>
        <w:jc w:val="both"/>
      </w:pPr>
      <w:r>
        <w:rPr>
          <w:sz w:val="24"/>
          <w:szCs w:val="24"/>
        </w:rPr>
        <w:t xml:space="preserve">- la deliberazione della giunta dell’Unione n° </w:t>
      </w:r>
      <w:r w:rsidR="00E91890">
        <w:rPr>
          <w:sz w:val="24"/>
          <w:szCs w:val="24"/>
        </w:rPr>
        <w:t>X</w:t>
      </w:r>
      <w:r w:rsidR="008E228C">
        <w:rPr>
          <w:sz w:val="24"/>
          <w:szCs w:val="24"/>
        </w:rPr>
        <w:t>X</w:t>
      </w:r>
      <w:r>
        <w:rPr>
          <w:sz w:val="24"/>
          <w:szCs w:val="24"/>
        </w:rPr>
        <w:t xml:space="preserve"> del </w:t>
      </w:r>
      <w:r w:rsidR="00E91890">
        <w:rPr>
          <w:sz w:val="24"/>
          <w:szCs w:val="24"/>
        </w:rPr>
        <w:t>XX</w:t>
      </w:r>
      <w:r w:rsidR="009C78DE">
        <w:rPr>
          <w:sz w:val="24"/>
          <w:szCs w:val="24"/>
        </w:rPr>
        <w:t>/</w:t>
      </w:r>
      <w:r w:rsidR="00E91890">
        <w:rPr>
          <w:sz w:val="24"/>
          <w:szCs w:val="24"/>
        </w:rPr>
        <w:t>XX</w:t>
      </w:r>
      <w:r>
        <w:rPr>
          <w:sz w:val="24"/>
          <w:szCs w:val="24"/>
        </w:rPr>
        <w:t>/</w:t>
      </w:r>
      <w:r w:rsidR="00E91890">
        <w:rPr>
          <w:sz w:val="24"/>
          <w:szCs w:val="24"/>
        </w:rPr>
        <w:t>XXXX</w:t>
      </w:r>
      <w:r>
        <w:rPr>
          <w:sz w:val="24"/>
          <w:szCs w:val="24"/>
        </w:rPr>
        <w:t xml:space="preserve"> con la quale è stata approvata la nota di aggiornamento al Documento unico di programmazione 202</w:t>
      </w:r>
      <w:r w:rsidR="00E91890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E91890">
        <w:rPr>
          <w:sz w:val="24"/>
          <w:szCs w:val="24"/>
        </w:rPr>
        <w:t>4</w:t>
      </w:r>
      <w:r>
        <w:rPr>
          <w:sz w:val="24"/>
          <w:szCs w:val="24"/>
        </w:rPr>
        <w:t>;</w:t>
      </w: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la deliberazione della giunta </w:t>
      </w:r>
      <w:r w:rsidR="006408CD">
        <w:rPr>
          <w:sz w:val="24"/>
          <w:szCs w:val="24"/>
        </w:rPr>
        <w:t>dell’Unione</w:t>
      </w:r>
      <w:r>
        <w:rPr>
          <w:sz w:val="24"/>
          <w:szCs w:val="24"/>
        </w:rPr>
        <w:t xml:space="preserve"> n° </w:t>
      </w:r>
      <w:r w:rsidR="00E91890">
        <w:rPr>
          <w:sz w:val="24"/>
          <w:szCs w:val="24"/>
        </w:rPr>
        <w:t>X</w:t>
      </w:r>
      <w:r w:rsidR="006408CD">
        <w:rPr>
          <w:sz w:val="24"/>
          <w:szCs w:val="24"/>
        </w:rPr>
        <w:t>X</w:t>
      </w:r>
      <w:r>
        <w:rPr>
          <w:sz w:val="24"/>
          <w:szCs w:val="24"/>
        </w:rPr>
        <w:t xml:space="preserve"> del </w:t>
      </w:r>
      <w:r w:rsidR="00E91890">
        <w:rPr>
          <w:sz w:val="24"/>
          <w:szCs w:val="24"/>
        </w:rPr>
        <w:t>XX</w:t>
      </w:r>
      <w:r w:rsidR="009C78DE">
        <w:rPr>
          <w:sz w:val="24"/>
          <w:szCs w:val="24"/>
        </w:rPr>
        <w:t>/</w:t>
      </w:r>
      <w:r w:rsidR="00E91890">
        <w:rPr>
          <w:sz w:val="24"/>
          <w:szCs w:val="24"/>
        </w:rPr>
        <w:t>XX</w:t>
      </w:r>
      <w:r>
        <w:rPr>
          <w:sz w:val="24"/>
          <w:szCs w:val="24"/>
        </w:rPr>
        <w:t>/</w:t>
      </w:r>
      <w:r w:rsidR="00E91890">
        <w:rPr>
          <w:sz w:val="24"/>
          <w:szCs w:val="24"/>
        </w:rPr>
        <w:t>XXXX</w:t>
      </w:r>
      <w:r>
        <w:rPr>
          <w:sz w:val="24"/>
          <w:szCs w:val="24"/>
        </w:rPr>
        <w:t xml:space="preserve"> con la quale è stata approvato lo schema di bilancio 202</w:t>
      </w:r>
      <w:r w:rsidR="00E91890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E91890">
        <w:rPr>
          <w:sz w:val="24"/>
          <w:szCs w:val="24"/>
        </w:rPr>
        <w:t>4</w:t>
      </w:r>
      <w:r>
        <w:rPr>
          <w:sz w:val="24"/>
          <w:szCs w:val="24"/>
        </w:rPr>
        <w:t>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Considerato che l’art. 172 del D. Lgs. n. 267/2000 prevede che al bilancio di previsione vengano allegati i seguenti documenti: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deliberazione, da adottarsi annualmente prima dell'approvazione del bilancio, con la quale i comuni verificano la quantità e qualità di aree e fabbricati da destinarsi alla residenza, alle attività produttive e terziarie - ai sensi delle leggi 18 aprile 1962, n. 167, 22 ottobre 1971, n. 865, e 5 agosto 1978, n. 457, che potranno essere ceduti in proprietà od in diritto di superficie; con la stessa deliberazione i comuni stabiliscono il prezzo di cessione per ciascun tipo di area o di fabbricato; 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le deliberazioni con le quali sono determinati le tariffe, le aliquote d'imposta e le eventuali maggiori detrazioni, le variazioni dei limiti di reddito per i tributi locali e per i servizi locali, nonché, per i servizi a domanda individuale, i tassi di copertura in percentuale del costo di gestione dei servizi stessi;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tabella relativa ai parametri di riscontro della situazione di deficitarietà strutturale prevista dalle disposizioni vigenti in materia (D.M. 18/2/2013); 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il documento unico di programmazione (D.U.P.) e la nota di aggiornamento dello stesso predisposti conformemente all’art.170 del D. Lgs. n. 267/2000 dalla Giunta dell’Unione;</w:t>
      </w:r>
    </w:p>
    <w:p w:rsidR="00D04CE8" w:rsidRDefault="00D04CE8">
      <w:pPr>
        <w:ind w:left="284" w:hanging="284"/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DATO ATTO che, per la natura dell’ente, non ricorre la fattispecie di cui ai punti a) e b) del paragrafo precedente;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Viste le disposizioni di Legge che regolano la finanza locale, in particolare il D. Lgs. n.267/2000 e il D.Lgs. n. 118/2011;</w:t>
      </w:r>
    </w:p>
    <w:p w:rsidR="00D04CE8" w:rsidRDefault="00D94F56">
      <w:pPr>
        <w:jc w:val="both"/>
      </w:pPr>
      <w:r>
        <w:rPr>
          <w:sz w:val="24"/>
          <w:szCs w:val="24"/>
        </w:rPr>
        <w:tab/>
      </w:r>
    </w:p>
    <w:p w:rsidR="00D04CE8" w:rsidRDefault="00D94F56">
      <w:pPr>
        <w:jc w:val="both"/>
      </w:pPr>
      <w:r>
        <w:rPr>
          <w:sz w:val="24"/>
          <w:szCs w:val="24"/>
        </w:rPr>
        <w:t>Visto il Regolamento di contabilità vigente;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Visto il parere favorevole del Responsabile dell’Area Amministrativa, ai sensi dell’art. 49 comma 1 D. Lgs. n° 267/2000, in ordine alla regolarità tecnica, in atti;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Visto il parere favorevole del Responsabile dell’Area Contabile, ai sensi dell’art. 49 D. Lgs. n° 267/2000, in ordine alla regolarità contabile, in atti;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Visto il parere del Revisore del Conti depositato agli atti;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Con voti unanimi e favorevoli espressi nei modi e nelle forme di legge;</w:t>
      </w:r>
    </w:p>
    <w:p w:rsidR="00D04CE8" w:rsidRDefault="00D04CE8">
      <w:pPr>
        <w:jc w:val="both"/>
        <w:rPr>
          <w:sz w:val="24"/>
          <w:szCs w:val="24"/>
        </w:rPr>
      </w:pPr>
    </w:p>
    <w:p w:rsidR="00E91890" w:rsidRDefault="00E91890">
      <w:pPr>
        <w:jc w:val="both"/>
        <w:rPr>
          <w:sz w:val="24"/>
          <w:szCs w:val="24"/>
        </w:rPr>
      </w:pPr>
    </w:p>
    <w:p w:rsidR="00D04CE8" w:rsidRDefault="00D94F56">
      <w:pPr>
        <w:jc w:val="center"/>
      </w:pPr>
      <w:r>
        <w:rPr>
          <w:sz w:val="24"/>
          <w:szCs w:val="24"/>
        </w:rPr>
        <w:lastRenderedPageBreak/>
        <w:t>DELIBERA</w:t>
      </w:r>
    </w:p>
    <w:p w:rsidR="00D04CE8" w:rsidRDefault="00D04CE8">
      <w:pPr>
        <w:rPr>
          <w:sz w:val="24"/>
          <w:szCs w:val="24"/>
        </w:rPr>
      </w:pPr>
    </w:p>
    <w:p w:rsidR="00D04CE8" w:rsidRDefault="00D94F56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approvare, ai sensi dell’art. 174, comma 1, del D. Lgs. n. 267/2000 e dell’art. 10, comma 15, del D. Lgs. n. 118/2011, lo schema del bilancio di previsione finanziario 202</w:t>
      </w:r>
      <w:r w:rsidR="00E91890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E91890">
        <w:rPr>
          <w:sz w:val="24"/>
          <w:szCs w:val="24"/>
        </w:rPr>
        <w:t>4</w:t>
      </w:r>
      <w:r>
        <w:rPr>
          <w:sz w:val="24"/>
          <w:szCs w:val="24"/>
        </w:rPr>
        <w:t>, redatto secondo l’allegato 9 al D.Lgs. n. 118/2011 e ss.mm.ii.;</w:t>
      </w:r>
    </w:p>
    <w:p w:rsidR="00D04CE8" w:rsidRDefault="00D04CE8">
      <w:pPr>
        <w:ind w:left="284"/>
        <w:jc w:val="both"/>
        <w:rPr>
          <w:sz w:val="24"/>
          <w:szCs w:val="24"/>
        </w:rPr>
      </w:pPr>
    </w:p>
    <w:p w:rsidR="00D04CE8" w:rsidRDefault="00D94F56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di dare atto che lo schema di bilancio di previsione </w:t>
      </w:r>
      <w:r w:rsidR="00E91890">
        <w:rPr>
          <w:sz w:val="24"/>
          <w:szCs w:val="24"/>
        </w:rPr>
        <w:t xml:space="preserve">2022-2024 </w:t>
      </w:r>
      <w:r>
        <w:rPr>
          <w:sz w:val="24"/>
          <w:szCs w:val="24"/>
        </w:rPr>
        <w:t>presenta le seguenti risultanze finali;</w:t>
      </w:r>
    </w:p>
    <w:p w:rsidR="00D04CE8" w:rsidRDefault="00D04CE8">
      <w:pPr>
        <w:jc w:val="both"/>
        <w:rPr>
          <w:sz w:val="24"/>
          <w:szCs w:val="24"/>
        </w:rPr>
      </w:pPr>
    </w:p>
    <w:tbl>
      <w:tblPr>
        <w:tblStyle w:val="TableNormal"/>
        <w:tblW w:w="9875" w:type="dxa"/>
        <w:tblInd w:w="113" w:type="dxa"/>
        <w:tblCellMar>
          <w:left w:w="5" w:type="dxa"/>
          <w:right w:w="7" w:type="dxa"/>
        </w:tblCellMar>
        <w:tblLook w:val="01E0"/>
      </w:tblPr>
      <w:tblGrid>
        <w:gridCol w:w="1026"/>
        <w:gridCol w:w="4111"/>
        <w:gridCol w:w="1559"/>
        <w:gridCol w:w="1560"/>
        <w:gridCol w:w="1619"/>
      </w:tblGrid>
      <w:tr w:rsidR="00CD296D" w:rsidTr="00DD30BA">
        <w:trPr>
          <w:trHeight w:val="244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Pr="00CD296D" w:rsidRDefault="00CD296D" w:rsidP="001A1F29">
            <w:pPr>
              <w:pStyle w:val="TableParagraph"/>
              <w:spacing w:line="181" w:lineRule="exact"/>
              <w:jc w:val="center"/>
              <w:rPr>
                <w:b/>
                <w:sz w:val="16"/>
                <w:lang w:val="it-IT"/>
              </w:rPr>
            </w:pPr>
            <w:r w:rsidRPr="00CD296D">
              <w:rPr>
                <w:b/>
                <w:sz w:val="16"/>
                <w:lang w:val="it-IT"/>
              </w:rPr>
              <w:t>ENTRATE</w:t>
            </w:r>
            <w:r w:rsidRPr="00CD296D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CD296D">
              <w:rPr>
                <w:b/>
                <w:sz w:val="16"/>
                <w:lang w:val="it-IT"/>
              </w:rPr>
              <w:t>E</w:t>
            </w:r>
            <w:r w:rsidRPr="00CD296D">
              <w:rPr>
                <w:b/>
                <w:spacing w:val="1"/>
                <w:sz w:val="16"/>
                <w:lang w:val="it-IT"/>
              </w:rPr>
              <w:t xml:space="preserve"> </w:t>
            </w:r>
            <w:r w:rsidRPr="00CD296D">
              <w:rPr>
                <w:b/>
                <w:sz w:val="16"/>
                <w:lang w:val="it-IT"/>
              </w:rPr>
              <w:t>SPESE</w:t>
            </w:r>
            <w:r w:rsidRPr="00CD296D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CD296D">
              <w:rPr>
                <w:b/>
                <w:sz w:val="16"/>
                <w:lang w:val="it-IT"/>
              </w:rPr>
              <w:t>PER</w:t>
            </w:r>
            <w:r w:rsidRPr="00CD296D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CD296D">
              <w:rPr>
                <w:b/>
                <w:sz w:val="16"/>
                <w:lang w:val="it-IT"/>
              </w:rPr>
              <w:t>TITOLI</w:t>
            </w:r>
            <w:r w:rsidRPr="00CD296D">
              <w:rPr>
                <w:b/>
                <w:spacing w:val="-3"/>
                <w:sz w:val="16"/>
                <w:lang w:val="it-IT"/>
              </w:rPr>
              <w:t xml:space="preserve"> </w:t>
            </w:r>
            <w:proofErr w:type="spellStart"/>
            <w:r w:rsidRPr="00CD296D">
              <w:rPr>
                <w:b/>
                <w:sz w:val="16"/>
                <w:lang w:val="it-IT"/>
              </w:rPr>
              <w:t>DI</w:t>
            </w:r>
            <w:proofErr w:type="spellEnd"/>
            <w:r w:rsidRPr="00CD296D">
              <w:rPr>
                <w:b/>
                <w:sz w:val="16"/>
                <w:lang w:val="it-IT"/>
              </w:rPr>
              <w:t xml:space="preserve"> BILANCIO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PREVISIONI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1"/>
              <w:jc w:val="center"/>
            </w:pPr>
            <w:r>
              <w:rPr>
                <w:b/>
                <w:sz w:val="16"/>
              </w:rPr>
              <w:t>PREVISIONI</w:t>
            </w:r>
            <w:r>
              <w:rPr>
                <w:b/>
                <w:spacing w:val="-4"/>
                <w:sz w:val="16"/>
              </w:rPr>
              <w:t xml:space="preserve"> 2023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66"/>
              <w:jc w:val="center"/>
            </w:pPr>
            <w:r>
              <w:rPr>
                <w:b/>
                <w:sz w:val="16"/>
              </w:rPr>
              <w:t>PREVISIONI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2024</w:t>
            </w:r>
          </w:p>
        </w:tc>
      </w:tr>
      <w:tr w:rsidR="00CD296D" w:rsidTr="00DD30BA">
        <w:trPr>
          <w:trHeight w:val="460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Pr="00CD296D" w:rsidRDefault="00CD296D" w:rsidP="001A1F29">
            <w:pPr>
              <w:pStyle w:val="TableParagraph"/>
              <w:spacing w:line="240" w:lineRule="auto"/>
              <w:ind w:left="179" w:right="8"/>
              <w:jc w:val="center"/>
              <w:rPr>
                <w:sz w:val="16"/>
                <w:lang w:val="it-IT"/>
              </w:rPr>
            </w:pPr>
            <w:r w:rsidRPr="00CD296D">
              <w:rPr>
                <w:sz w:val="16"/>
                <w:lang w:val="it-IT"/>
              </w:rPr>
              <w:t>Entrate</w:t>
            </w:r>
            <w:r w:rsidRPr="00CD296D">
              <w:rPr>
                <w:spacing w:val="9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correnti</w:t>
            </w:r>
            <w:r w:rsidRPr="00CD296D">
              <w:rPr>
                <w:spacing w:val="9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di</w:t>
            </w:r>
            <w:r w:rsidRPr="00CD296D">
              <w:rPr>
                <w:spacing w:val="9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natura</w:t>
            </w:r>
            <w:r w:rsidRPr="00CD296D">
              <w:rPr>
                <w:spacing w:val="11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tributaria,</w:t>
            </w:r>
            <w:r w:rsidRPr="00CD296D">
              <w:rPr>
                <w:spacing w:val="-37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contributiva e</w:t>
            </w:r>
            <w:r w:rsidRPr="00CD296D">
              <w:rPr>
                <w:spacing w:val="-4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perequativa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Pr="00CD296D" w:rsidRDefault="00CD296D" w:rsidP="00DD30BA">
            <w:pPr>
              <w:pStyle w:val="TableParagraph"/>
              <w:spacing w:before="6" w:line="240" w:lineRule="auto"/>
              <w:ind w:left="0"/>
              <w:jc w:val="center"/>
              <w:rPr>
                <w:sz w:val="15"/>
                <w:lang w:val="it-IT"/>
              </w:rPr>
            </w:pPr>
          </w:p>
          <w:p w:rsidR="00CD296D" w:rsidRDefault="00CD296D" w:rsidP="00DD30BA">
            <w:pPr>
              <w:pStyle w:val="TableParagraph"/>
              <w:spacing w:line="240" w:lineRule="auto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spacing w:before="6" w:line="240" w:lineRule="auto"/>
              <w:ind w:left="0"/>
              <w:jc w:val="center"/>
              <w:rPr>
                <w:sz w:val="15"/>
              </w:rPr>
            </w:pPr>
          </w:p>
          <w:p w:rsidR="00CD296D" w:rsidRDefault="00CD296D" w:rsidP="00DD30BA">
            <w:pPr>
              <w:pStyle w:val="TableParagraph"/>
              <w:spacing w:line="240" w:lineRule="auto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spacing w:before="6" w:line="240" w:lineRule="auto"/>
              <w:ind w:left="0"/>
              <w:jc w:val="center"/>
              <w:rPr>
                <w:sz w:val="15"/>
              </w:rPr>
            </w:pPr>
          </w:p>
          <w:p w:rsidR="00CD296D" w:rsidRDefault="00CD296D" w:rsidP="00DD30BA">
            <w:pPr>
              <w:pStyle w:val="TableParagraph"/>
              <w:spacing w:line="240" w:lineRule="auto"/>
              <w:ind w:left="166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</w:tr>
      <w:tr w:rsidR="00CD296D" w:rsidTr="00DD30BA">
        <w:trPr>
          <w:trHeight w:val="237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1A1F29">
            <w:pPr>
              <w:pStyle w:val="TableParagraph"/>
              <w:ind w:left="179"/>
              <w:jc w:val="center"/>
              <w:rPr>
                <w:sz w:val="16"/>
              </w:rPr>
            </w:pPr>
            <w:r>
              <w:rPr>
                <w:sz w:val="16"/>
              </w:rPr>
              <w:t>Trasferimenti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correnti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0"/>
              <w:jc w:val="center"/>
            </w:pPr>
            <w:r>
              <w:rPr>
                <w:sz w:val="16"/>
                <w:lang w:val="it-IT"/>
              </w:rPr>
              <w:t>€</w:t>
            </w:r>
            <w:r>
              <w:rPr>
                <w:spacing w:val="-4"/>
                <w:sz w:val="16"/>
                <w:lang w:val="it-IT"/>
              </w:rPr>
              <w:t xml:space="preserve"> </w:t>
            </w:r>
            <w:r>
              <w:rPr>
                <w:spacing w:val="-4"/>
                <w:sz w:val="16"/>
                <w:szCs w:val="20"/>
                <w:lang w:val="it-IT"/>
              </w:rPr>
              <w:t>272.609,23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1"/>
              <w:jc w:val="center"/>
            </w:pPr>
            <w:r>
              <w:rPr>
                <w:sz w:val="16"/>
                <w:lang w:val="it-IT"/>
              </w:rPr>
              <w:t>€</w:t>
            </w:r>
            <w:r>
              <w:rPr>
                <w:spacing w:val="-4"/>
                <w:sz w:val="16"/>
                <w:lang w:val="it-IT"/>
              </w:rPr>
              <w:t xml:space="preserve"> </w:t>
            </w:r>
            <w:r>
              <w:rPr>
                <w:spacing w:val="-4"/>
                <w:sz w:val="16"/>
                <w:szCs w:val="20"/>
                <w:lang w:val="it-IT"/>
              </w:rPr>
              <w:t>272.609,23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49"/>
              <w:jc w:val="center"/>
            </w:pPr>
            <w:r>
              <w:rPr>
                <w:sz w:val="16"/>
                <w:lang w:val="it-IT"/>
              </w:rPr>
              <w:t>€</w:t>
            </w:r>
            <w:r>
              <w:rPr>
                <w:spacing w:val="-4"/>
                <w:sz w:val="16"/>
                <w:lang w:val="it-IT"/>
              </w:rPr>
              <w:t xml:space="preserve"> </w:t>
            </w:r>
            <w:r>
              <w:rPr>
                <w:spacing w:val="-4"/>
                <w:sz w:val="16"/>
                <w:szCs w:val="20"/>
                <w:lang w:val="it-IT"/>
              </w:rPr>
              <w:t>272.609,23</w:t>
            </w:r>
          </w:p>
        </w:tc>
      </w:tr>
      <w:tr w:rsidR="00CD296D" w:rsidTr="00DD30BA">
        <w:trPr>
          <w:trHeight w:val="239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1A1F29">
            <w:pPr>
              <w:pStyle w:val="TableParagraph"/>
              <w:ind w:left="179"/>
              <w:jc w:val="center"/>
              <w:rPr>
                <w:sz w:val="16"/>
              </w:rPr>
            </w:pPr>
            <w:r>
              <w:rPr>
                <w:sz w:val="16"/>
              </w:rPr>
              <w:t>Entrate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extra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tributarie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66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</w:tr>
      <w:tr w:rsidR="00CD296D" w:rsidTr="00DD30BA">
        <w:trPr>
          <w:trHeight w:val="237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1A1F29">
            <w:pPr>
              <w:pStyle w:val="TableParagraph"/>
              <w:ind w:left="179"/>
              <w:jc w:val="center"/>
              <w:rPr>
                <w:sz w:val="16"/>
              </w:rPr>
            </w:pPr>
            <w:r>
              <w:rPr>
                <w:sz w:val="16"/>
              </w:rPr>
              <w:t>Entrate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capitale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5.000,00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66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5.000,00</w:t>
            </w:r>
          </w:p>
        </w:tc>
      </w:tr>
      <w:tr w:rsidR="00CD296D" w:rsidTr="00DD30BA">
        <w:trPr>
          <w:trHeight w:val="249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Pr="00CD296D" w:rsidRDefault="00CD296D" w:rsidP="001A1F29">
            <w:pPr>
              <w:pStyle w:val="TableParagraph"/>
              <w:ind w:left="179"/>
              <w:jc w:val="center"/>
              <w:rPr>
                <w:sz w:val="16"/>
                <w:lang w:val="it-IT"/>
              </w:rPr>
            </w:pPr>
            <w:r w:rsidRPr="00CD296D">
              <w:rPr>
                <w:sz w:val="16"/>
                <w:lang w:val="it-IT"/>
              </w:rPr>
              <w:t>Entrate</w:t>
            </w:r>
            <w:r w:rsidRPr="00CD296D">
              <w:rPr>
                <w:spacing w:val="-6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per</w:t>
            </w:r>
            <w:r w:rsidRPr="00CD296D">
              <w:rPr>
                <w:spacing w:val="-2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conto</w:t>
            </w:r>
            <w:r w:rsidRPr="00CD296D">
              <w:rPr>
                <w:spacing w:val="-4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terzi e</w:t>
            </w:r>
            <w:r w:rsidRPr="00CD296D">
              <w:rPr>
                <w:spacing w:val="-3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partite</w:t>
            </w:r>
            <w:r w:rsidRPr="00CD296D">
              <w:rPr>
                <w:spacing w:val="-5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di giro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120.000,00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120.000,00</w:t>
            </w:r>
          </w:p>
        </w:tc>
      </w:tr>
      <w:tr w:rsidR="00CD296D" w:rsidTr="00DD30BA">
        <w:trPr>
          <w:trHeight w:val="201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1A1F29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ENTRATE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€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z w:val="16"/>
                <w:lang w:val="it-IT"/>
              </w:rPr>
              <w:t>97.609,23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€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z w:val="16"/>
                <w:lang w:val="it-IT"/>
              </w:rPr>
              <w:t>97.609,23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€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z w:val="16"/>
                <w:lang w:val="it-IT"/>
              </w:rPr>
              <w:t>97.609,23</w:t>
            </w:r>
          </w:p>
        </w:tc>
      </w:tr>
      <w:tr w:rsidR="00CD296D" w:rsidTr="00DD30BA">
        <w:trPr>
          <w:trHeight w:val="237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1A1F29">
            <w:pPr>
              <w:pStyle w:val="TableParagraph"/>
              <w:ind w:left="179"/>
              <w:jc w:val="center"/>
              <w:rPr>
                <w:sz w:val="16"/>
              </w:rPr>
            </w:pPr>
            <w:r>
              <w:rPr>
                <w:sz w:val="16"/>
              </w:rPr>
              <w:t>Spese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3"/>
              <w:jc w:val="center"/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4"/>
                <w:sz w:val="16"/>
                <w:szCs w:val="20"/>
                <w:lang w:val="it-IT"/>
              </w:rPr>
              <w:t>272.609,23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1"/>
              <w:jc w:val="center"/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4"/>
                <w:sz w:val="16"/>
                <w:szCs w:val="20"/>
                <w:lang w:val="it-IT"/>
              </w:rPr>
              <w:t>272.609,23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49"/>
              <w:jc w:val="center"/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4"/>
                <w:sz w:val="16"/>
                <w:szCs w:val="20"/>
                <w:lang w:val="it-IT"/>
              </w:rPr>
              <w:t>272.609,23</w:t>
            </w:r>
          </w:p>
        </w:tc>
      </w:tr>
      <w:tr w:rsidR="00CD296D" w:rsidTr="00DD30BA">
        <w:trPr>
          <w:trHeight w:val="240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spacing w:line="181" w:lineRule="exact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1A1F29">
            <w:pPr>
              <w:pStyle w:val="TableParagraph"/>
              <w:spacing w:line="181" w:lineRule="exact"/>
              <w:ind w:left="179"/>
              <w:jc w:val="center"/>
              <w:rPr>
                <w:sz w:val="16"/>
              </w:rPr>
            </w:pPr>
            <w:r>
              <w:rPr>
                <w:sz w:val="16"/>
              </w:rPr>
              <w:t>Spese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capitale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0"/>
              <w:jc w:val="center"/>
            </w:pPr>
            <w:r>
              <w:rPr>
                <w:sz w:val="16"/>
              </w:rPr>
              <w:t>€ 5.000,00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49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5.000,00</w:t>
            </w:r>
          </w:p>
        </w:tc>
      </w:tr>
      <w:tr w:rsidR="00CD296D" w:rsidTr="00DD30BA">
        <w:trPr>
          <w:trHeight w:val="237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1A1F29">
            <w:pPr>
              <w:pStyle w:val="TableParagraph"/>
              <w:ind w:left="179"/>
              <w:jc w:val="center"/>
              <w:rPr>
                <w:sz w:val="16"/>
              </w:rPr>
            </w:pPr>
            <w:r>
              <w:rPr>
                <w:sz w:val="16"/>
              </w:rPr>
              <w:t>Rimborso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prestiti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0"/>
              <w:jc w:val="center"/>
            </w:pPr>
            <w:r>
              <w:rPr>
                <w:sz w:val="16"/>
              </w:rPr>
              <w:t>€ 0,00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66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0,00</w:t>
            </w:r>
          </w:p>
        </w:tc>
      </w:tr>
      <w:tr w:rsidR="00CD296D" w:rsidTr="00DD30BA">
        <w:trPr>
          <w:trHeight w:val="251"/>
        </w:trPr>
        <w:tc>
          <w:tcPr>
            <w:tcW w:w="10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A0591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Pr="00CD296D" w:rsidRDefault="00CD296D" w:rsidP="001A1F29">
            <w:pPr>
              <w:pStyle w:val="TableParagraph"/>
              <w:ind w:left="179"/>
              <w:jc w:val="center"/>
              <w:rPr>
                <w:sz w:val="16"/>
                <w:lang w:val="it-IT"/>
              </w:rPr>
            </w:pPr>
            <w:r w:rsidRPr="00CD296D">
              <w:rPr>
                <w:sz w:val="16"/>
                <w:lang w:val="it-IT"/>
              </w:rPr>
              <w:t>Spese</w:t>
            </w:r>
            <w:r w:rsidRPr="00CD296D">
              <w:rPr>
                <w:spacing w:val="-3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per</w:t>
            </w:r>
            <w:r w:rsidRPr="00CD296D">
              <w:rPr>
                <w:spacing w:val="-2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conto</w:t>
            </w:r>
            <w:r w:rsidRPr="00CD296D">
              <w:rPr>
                <w:spacing w:val="-4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terzi e</w:t>
            </w:r>
            <w:r w:rsidRPr="00CD296D">
              <w:rPr>
                <w:spacing w:val="-3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partite</w:t>
            </w:r>
            <w:r w:rsidRPr="00CD296D">
              <w:rPr>
                <w:spacing w:val="-5"/>
                <w:sz w:val="16"/>
                <w:lang w:val="it-IT"/>
              </w:rPr>
              <w:t xml:space="preserve"> </w:t>
            </w:r>
            <w:r w:rsidRPr="00CD296D">
              <w:rPr>
                <w:sz w:val="16"/>
                <w:lang w:val="it-IT"/>
              </w:rPr>
              <w:t>di giro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0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120.000,00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120.000,00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96D" w:rsidRDefault="00CD296D" w:rsidP="00DD30BA">
            <w:pPr>
              <w:pStyle w:val="TableParagraph"/>
              <w:ind w:left="166"/>
              <w:jc w:val="center"/>
              <w:rPr>
                <w:sz w:val="16"/>
              </w:rPr>
            </w:pPr>
            <w:r>
              <w:rPr>
                <w:sz w:val="16"/>
              </w:rPr>
              <w:t>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120.000,00</w:t>
            </w:r>
          </w:p>
        </w:tc>
      </w:tr>
      <w:tr w:rsidR="00CD296D" w:rsidTr="00DD30BA">
        <w:trPr>
          <w:trHeight w:val="184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1A1F29">
            <w:pPr>
              <w:pStyle w:val="TableParagraph"/>
              <w:spacing w:line="16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SPESE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€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z w:val="16"/>
                <w:lang w:val="it-IT"/>
              </w:rPr>
              <w:t>97.609,23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€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z w:val="16"/>
                <w:lang w:val="it-IT"/>
              </w:rPr>
              <w:t>97.609,23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D296D" w:rsidRDefault="00CD296D" w:rsidP="00DD30BA">
            <w:pPr>
              <w:pStyle w:val="TableParagraph"/>
              <w:spacing w:line="181" w:lineRule="exact"/>
              <w:ind w:left="180"/>
              <w:jc w:val="center"/>
            </w:pPr>
            <w:r>
              <w:rPr>
                <w:b/>
                <w:sz w:val="16"/>
              </w:rPr>
              <w:t>€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z w:val="16"/>
                <w:lang w:val="it-IT"/>
              </w:rPr>
              <w:t>97.609,23</w:t>
            </w:r>
          </w:p>
        </w:tc>
      </w:tr>
    </w:tbl>
    <w:p w:rsidR="00D04CE8" w:rsidRDefault="00D04CE8">
      <w:pPr>
        <w:jc w:val="both"/>
        <w:rPr>
          <w:sz w:val="24"/>
          <w:szCs w:val="24"/>
        </w:rPr>
      </w:pPr>
    </w:p>
    <w:p w:rsidR="00D04CE8" w:rsidRDefault="00CD296D">
      <w:pPr>
        <w:jc w:val="both"/>
        <w:rPr>
          <w:sz w:val="24"/>
          <w:szCs w:val="24"/>
        </w:rPr>
      </w:pPr>
      <w:r>
        <w:rPr>
          <w:sz w:val="24"/>
          <w:szCs w:val="24"/>
        </w:rPr>
        <w:t>3. di pubblicare il presente atto all’Albo pretorio dell’ente;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04CE8">
      <w:pPr>
        <w:jc w:val="both"/>
      </w:pPr>
    </w:p>
    <w:p w:rsidR="00D04CE8" w:rsidRDefault="00D94F56">
      <w:pPr>
        <w:jc w:val="both"/>
      </w:pPr>
      <w:r>
        <w:rPr>
          <w:sz w:val="24"/>
          <w:szCs w:val="24"/>
        </w:rPr>
        <w:t>Successivamente, ravvisata l’urgenza, con separata votazione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 E L I B E R A</w:t>
      </w:r>
    </w:p>
    <w:p w:rsidR="00D04CE8" w:rsidRDefault="00D04CE8">
      <w:pPr>
        <w:jc w:val="center"/>
        <w:rPr>
          <w:b/>
          <w:bCs/>
          <w:sz w:val="24"/>
          <w:szCs w:val="24"/>
        </w:rPr>
      </w:pP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>di dichiarare l’immediata eseguibilità ai sensi dell’art. 134 comma 4, D. Lgs. n. 267/2000</w:t>
      </w:r>
    </w:p>
    <w:p w:rsidR="00D04CE8" w:rsidRDefault="00D04CE8"/>
    <w:sectPr w:rsidR="00D04CE8" w:rsidSect="00D04CE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5B55"/>
    <w:multiLevelType w:val="multilevel"/>
    <w:tmpl w:val="10E0B522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27871"/>
    <w:multiLevelType w:val="multilevel"/>
    <w:tmpl w:val="B174286A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B7383"/>
    <w:multiLevelType w:val="multilevel"/>
    <w:tmpl w:val="919EE6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283"/>
  <w:characterSpacingControl w:val="doNotCompress"/>
  <w:compat>
    <w:useFELayout/>
  </w:compat>
  <w:rsids>
    <w:rsidRoot w:val="00D04CE8"/>
    <w:rsid w:val="001A1F29"/>
    <w:rsid w:val="006408CD"/>
    <w:rsid w:val="008B69D3"/>
    <w:rsid w:val="008E228C"/>
    <w:rsid w:val="009C2E18"/>
    <w:rsid w:val="009C78DE"/>
    <w:rsid w:val="00A0591D"/>
    <w:rsid w:val="00CD296D"/>
    <w:rsid w:val="00D04CE8"/>
    <w:rsid w:val="00D94F56"/>
    <w:rsid w:val="00DA003D"/>
    <w:rsid w:val="00DD30BA"/>
    <w:rsid w:val="00E91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05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link w:val="Titolo1Carattere"/>
    <w:qFormat/>
    <w:rsid w:val="0084705E"/>
    <w:pPr>
      <w:keepNext/>
      <w:jc w:val="center"/>
      <w:outlineLvl w:val="0"/>
    </w:pPr>
    <w:rPr>
      <w:b/>
    </w:rPr>
  </w:style>
  <w:style w:type="character" w:customStyle="1" w:styleId="Titolo1Carattere">
    <w:name w:val="Titolo 1 Carattere"/>
    <w:basedOn w:val="Carpredefinitoparagrafo"/>
    <w:link w:val="Heading1"/>
    <w:qFormat/>
    <w:rsid w:val="0084705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itolo">
    <w:name w:val="Title"/>
    <w:basedOn w:val="Normale"/>
    <w:next w:val="Corpodeltesto"/>
    <w:qFormat/>
    <w:rsid w:val="00D04CE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D04CE8"/>
    <w:pPr>
      <w:spacing w:after="140" w:line="276" w:lineRule="auto"/>
    </w:pPr>
  </w:style>
  <w:style w:type="paragraph" w:styleId="Elenco">
    <w:name w:val="List"/>
    <w:basedOn w:val="Corpodeltesto"/>
    <w:rsid w:val="00D04CE8"/>
    <w:rPr>
      <w:rFonts w:cs="Lucida Sans"/>
    </w:rPr>
  </w:style>
  <w:style w:type="paragraph" w:customStyle="1" w:styleId="Caption">
    <w:name w:val="Caption"/>
    <w:basedOn w:val="Normale"/>
    <w:qFormat/>
    <w:rsid w:val="00D04CE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D04CE8"/>
    <w:pPr>
      <w:suppressLineNumbers/>
    </w:pPr>
    <w:rPr>
      <w:rFonts w:cs="Lucida Sans"/>
    </w:rPr>
  </w:style>
  <w:style w:type="paragraph" w:customStyle="1" w:styleId="Contenutocornice">
    <w:name w:val="Contenuto cornice"/>
    <w:basedOn w:val="Normale"/>
    <w:qFormat/>
    <w:rsid w:val="0084705E"/>
    <w:pPr>
      <w:widowControl w:val="0"/>
    </w:pPr>
    <w:rPr>
      <w:rFonts w:ascii="Book Antiqua" w:eastAsia="Book Antiqua" w:hAnsi="Book Antiqua" w:cs="Book Antiqua"/>
    </w:rPr>
  </w:style>
  <w:style w:type="paragraph" w:customStyle="1" w:styleId="TableParagraph">
    <w:name w:val="Table Paragraph"/>
    <w:basedOn w:val="Normale"/>
    <w:uiPriority w:val="1"/>
    <w:qFormat/>
    <w:rsid w:val="00CD296D"/>
    <w:pPr>
      <w:widowControl w:val="0"/>
      <w:spacing w:line="178" w:lineRule="exact"/>
      <w:ind w:left="182"/>
    </w:pPr>
    <w:rPr>
      <w:kern w:val="0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D296D"/>
    <w:rPr>
      <w:rFonts w:asciiTheme="minorHAnsi" w:eastAsiaTheme="minorHAnsi" w:hAnsiTheme="minorHAnsi" w:cstheme="minorBidi"/>
      <w:kern w:val="0"/>
      <w:sz w:val="20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PROTOCOLLO</cp:lastModifiedBy>
  <cp:revision>10</cp:revision>
  <dcterms:created xsi:type="dcterms:W3CDTF">2021-03-06T09:14:00Z</dcterms:created>
  <dcterms:modified xsi:type="dcterms:W3CDTF">2021-11-27T09:21:00Z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