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B88" w:rsidRDefault="00D96C47">
      <w:pPr>
        <w:pStyle w:val="Heading1"/>
        <w:jc w:val="both"/>
      </w:pPr>
      <w:r>
        <w:rPr>
          <w:b w:val="0"/>
          <w:sz w:val="24"/>
          <w:szCs w:val="24"/>
        </w:rPr>
        <w:t xml:space="preserve">OGGETTO: </w:t>
      </w:r>
      <w:hyperlink r:id="rId5">
        <w:r>
          <w:rPr>
            <w:b w:val="0"/>
            <w:sz w:val="24"/>
            <w:szCs w:val="24"/>
          </w:rPr>
          <w:t xml:space="preserve">APPROVAZIONE DEL BILANCIO </w:t>
        </w:r>
        <w:proofErr w:type="spellStart"/>
        <w:r>
          <w:rPr>
            <w:b w:val="0"/>
            <w:sz w:val="24"/>
            <w:szCs w:val="24"/>
          </w:rPr>
          <w:t>DI</w:t>
        </w:r>
        <w:proofErr w:type="spellEnd"/>
        <w:r>
          <w:rPr>
            <w:b w:val="0"/>
            <w:sz w:val="24"/>
            <w:szCs w:val="24"/>
          </w:rPr>
          <w:t xml:space="preserve"> PREVISIONE FINANZIARIO PER IL TRIENNIO 2023-2025 </w:t>
        </w:r>
      </w:hyperlink>
    </w:p>
    <w:p w:rsidR="00393B88" w:rsidRDefault="00393B88"/>
    <w:p w:rsidR="00393B88" w:rsidRDefault="00D96C47">
      <w:pPr>
        <w:pStyle w:val="Heading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L’ASSEMBLEA dell’UNIONE</w:t>
      </w:r>
    </w:p>
    <w:p w:rsidR="00393B88" w:rsidRDefault="00393B88"/>
    <w:p w:rsidR="00393B88" w:rsidRDefault="00D96C4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Premesso che il bilancio previsionale 2023-2025 viene redatto secondo i principi contabili di cui al D. Lgs. n. 267/2000 e D. Lgs. n. 118/2011; </w:t>
      </w:r>
    </w:p>
    <w:p w:rsidR="00393B88" w:rsidRDefault="00393B88">
      <w:pPr>
        <w:jc w:val="both"/>
        <w:rPr>
          <w:sz w:val="24"/>
          <w:szCs w:val="24"/>
        </w:rPr>
      </w:pPr>
    </w:p>
    <w:p w:rsidR="00393B88" w:rsidRDefault="00D96C47">
      <w:pPr>
        <w:jc w:val="both"/>
      </w:pPr>
      <w:r>
        <w:rPr>
          <w:sz w:val="24"/>
          <w:szCs w:val="24"/>
        </w:rPr>
        <w:t>Richiamate:</w:t>
      </w:r>
    </w:p>
    <w:p w:rsidR="00393B88" w:rsidRDefault="00D96C47">
      <w:pPr>
        <w:numPr>
          <w:ilvl w:val="0"/>
          <w:numId w:val="4"/>
        </w:numPr>
        <w:tabs>
          <w:tab w:val="clear" w:pos="720"/>
          <w:tab w:val="left" w:pos="279"/>
        </w:tabs>
        <w:ind w:left="0" w:firstLine="0"/>
        <w:jc w:val="both"/>
      </w:pPr>
      <w:r>
        <w:rPr>
          <w:sz w:val="24"/>
          <w:szCs w:val="24"/>
        </w:rPr>
        <w:t>la deliberazione di giunta dell’Unione n° 9 del 04/07/2022 con la quale è stato approvato il Docum</w:t>
      </w:r>
      <w:r>
        <w:rPr>
          <w:sz w:val="24"/>
          <w:szCs w:val="24"/>
        </w:rPr>
        <w:t>ento unico di programmazione 2023-2025;</w:t>
      </w:r>
    </w:p>
    <w:p w:rsidR="00393B88" w:rsidRDefault="00D96C47">
      <w:pPr>
        <w:numPr>
          <w:ilvl w:val="0"/>
          <w:numId w:val="4"/>
        </w:numPr>
        <w:tabs>
          <w:tab w:val="clear" w:pos="720"/>
          <w:tab w:val="left" w:pos="279"/>
        </w:tabs>
        <w:ind w:left="0" w:firstLine="0"/>
        <w:jc w:val="both"/>
      </w:pPr>
      <w:r>
        <w:rPr>
          <w:sz w:val="24"/>
          <w:szCs w:val="24"/>
        </w:rPr>
        <w:t>la deliberazione della giunta dell’Unione n° 13</w:t>
      </w:r>
      <w:r>
        <w:rPr>
          <w:sz w:val="24"/>
          <w:szCs w:val="24"/>
        </w:rPr>
        <w:t xml:space="preserve"> del 02</w:t>
      </w:r>
      <w:r>
        <w:rPr>
          <w:sz w:val="24"/>
          <w:szCs w:val="24"/>
        </w:rPr>
        <w:t>/11</w:t>
      </w:r>
      <w:r>
        <w:rPr>
          <w:sz w:val="24"/>
          <w:szCs w:val="24"/>
        </w:rPr>
        <w:t>/2022 con la quale è stata approvato lo schema di bilancio 2023-2025;</w:t>
      </w:r>
    </w:p>
    <w:p w:rsidR="00393B88" w:rsidRDefault="00393B88">
      <w:pPr>
        <w:jc w:val="both"/>
        <w:rPr>
          <w:sz w:val="24"/>
          <w:szCs w:val="24"/>
        </w:rPr>
      </w:pPr>
    </w:p>
    <w:p w:rsidR="00393B88" w:rsidRDefault="00D96C47">
      <w:pPr>
        <w:jc w:val="both"/>
      </w:pPr>
      <w:r>
        <w:rPr>
          <w:sz w:val="24"/>
          <w:szCs w:val="24"/>
        </w:rPr>
        <w:t>Letto l’articolo 172 del D. Lgs. n. 267/2000 prevede che al bilancio di previsione venga</w:t>
      </w:r>
      <w:r>
        <w:rPr>
          <w:sz w:val="24"/>
          <w:szCs w:val="24"/>
        </w:rPr>
        <w:t>no allegati i seguenti documenti:</w:t>
      </w:r>
    </w:p>
    <w:p w:rsidR="00393B88" w:rsidRDefault="00D96C47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>la deliberazione, da adottarsi annualmente prima dell'approvazione del bilancio, con la quale i comuni verificano la quantità e qualità di aree e fabbricati da destinarsi alla residenza, alle attività produttive e terziari</w:t>
      </w:r>
      <w:r>
        <w:rPr>
          <w:sz w:val="24"/>
          <w:szCs w:val="24"/>
        </w:rPr>
        <w:t>e - ai sensi delle leggi 18 aprile 1962, n. 167, 22 ottobre 1971, n. 865, e 5 agosto 1978, n. 457, che potranno essere ceduti in proprietà od in diritto di superficie; con la stessa deliberazione i comuni stabiliscono il prezzo di cessione per ciascun tipo</w:t>
      </w:r>
      <w:r>
        <w:rPr>
          <w:sz w:val="24"/>
          <w:szCs w:val="24"/>
        </w:rPr>
        <w:t xml:space="preserve"> di area o di fabbricato; </w:t>
      </w:r>
    </w:p>
    <w:p w:rsidR="00393B88" w:rsidRDefault="00D96C47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>le deliberazioni con le quali sono determinati le tariffe, le aliquote d'imposta e le eventuali maggiori detrazioni, le variazioni dei limiti di reddito per i tributi locali e per i servizi locali, nonché, per i servizi a domanda</w:t>
      </w:r>
      <w:r>
        <w:rPr>
          <w:sz w:val="24"/>
          <w:szCs w:val="24"/>
        </w:rPr>
        <w:t xml:space="preserve"> individuale, i tassi di copertura in percentuale del costo di gestione dei servizi stessi;</w:t>
      </w:r>
    </w:p>
    <w:p w:rsidR="00393B88" w:rsidRDefault="00D96C47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 xml:space="preserve">la tabella relativa ai parametri di riscontro della situazione di deficitarietà strutturale prevista dalle disposizioni vigenti in materia (D.M. 18/2/2013); </w:t>
      </w:r>
    </w:p>
    <w:p w:rsidR="00393B88" w:rsidRDefault="00D96C47">
      <w:pPr>
        <w:numPr>
          <w:ilvl w:val="0"/>
          <w:numId w:val="1"/>
        </w:numPr>
        <w:suppressAutoHyphens/>
        <w:ind w:left="284" w:hanging="284"/>
        <w:jc w:val="both"/>
      </w:pPr>
      <w:r>
        <w:rPr>
          <w:sz w:val="24"/>
          <w:szCs w:val="24"/>
        </w:rPr>
        <w:t>il doc</w:t>
      </w:r>
      <w:r>
        <w:rPr>
          <w:sz w:val="24"/>
          <w:szCs w:val="24"/>
        </w:rPr>
        <w:t>umento unico di programmazione (D.U.P.) e la nota di aggiornamento dello stesso predisposti conformemente all’art.170 del D. Lgs. n. 267/2000 dalla Giunta dell’Unione;</w:t>
      </w:r>
    </w:p>
    <w:p w:rsidR="00393B88" w:rsidRDefault="00393B88">
      <w:pPr>
        <w:ind w:left="284" w:hanging="284"/>
        <w:jc w:val="both"/>
        <w:rPr>
          <w:sz w:val="24"/>
          <w:szCs w:val="24"/>
        </w:rPr>
      </w:pPr>
    </w:p>
    <w:p w:rsidR="00393B88" w:rsidRDefault="00D96C47">
      <w:pPr>
        <w:jc w:val="both"/>
      </w:pPr>
      <w:r>
        <w:rPr>
          <w:sz w:val="24"/>
          <w:szCs w:val="24"/>
        </w:rPr>
        <w:t>Dato atto che, per la natura dell’ente, non ricorrono le fattispecie di cui ai punti a)</w:t>
      </w:r>
      <w:r>
        <w:rPr>
          <w:sz w:val="24"/>
          <w:szCs w:val="24"/>
        </w:rPr>
        <w:t xml:space="preserve"> e b) del paragrafo precedente;</w:t>
      </w:r>
    </w:p>
    <w:p w:rsidR="00393B88" w:rsidRDefault="00393B88">
      <w:pPr>
        <w:jc w:val="both"/>
        <w:rPr>
          <w:sz w:val="24"/>
          <w:szCs w:val="24"/>
        </w:rPr>
      </w:pPr>
    </w:p>
    <w:p w:rsidR="00393B88" w:rsidRDefault="00D96C47">
      <w:pPr>
        <w:shd w:val="clear" w:color="auto" w:fill="FFFFFF"/>
        <w:jc w:val="both"/>
      </w:pPr>
      <w:r>
        <w:rPr>
          <w:sz w:val="24"/>
          <w:szCs w:val="24"/>
        </w:rPr>
        <w:t>Considerato che non è stata presentata la nota di aggiornamento al Documento unico di presentazione, in quanto è da considerarsi “eventuale” ai sensi del paragrafo 4.2. del principio contabile applicato della programmazione</w:t>
      </w:r>
      <w:r>
        <w:rPr>
          <w:sz w:val="24"/>
          <w:szCs w:val="24"/>
        </w:rPr>
        <w:t xml:space="preserve"> (Allegato n. 4/1 al D. Lgs. n. 118/2011), e come precisato da Arconet con la FAQ n. 10 pubblicata in data 7 ottobre 2015 che al punto 4) specifica che la nota suddetta può non essere presentata se si verificano entrambe le seguenti condizioni:</w:t>
      </w:r>
    </w:p>
    <w:p w:rsidR="00393B88" w:rsidRDefault="00D96C47">
      <w:pPr>
        <w:numPr>
          <w:ilvl w:val="0"/>
          <w:numId w:val="3"/>
        </w:numPr>
        <w:shd w:val="clear" w:color="auto" w:fill="FFFFFF"/>
        <w:tabs>
          <w:tab w:val="clear" w:pos="720"/>
          <w:tab w:val="left" w:pos="284"/>
          <w:tab w:val="left" w:pos="851"/>
        </w:tabs>
        <w:ind w:left="0" w:hanging="11"/>
        <w:jc w:val="both"/>
      </w:pPr>
      <w:r>
        <w:rPr>
          <w:sz w:val="24"/>
          <w:szCs w:val="24"/>
        </w:rPr>
        <w:t xml:space="preserve">il </w:t>
      </w:r>
      <w:r>
        <w:rPr>
          <w:sz w:val="24"/>
          <w:szCs w:val="24"/>
        </w:rPr>
        <w:t>Documento unico di programmazione è già stato approvato in quanto rappresentativo degli indirizzi strategici e operativi dell’Assemblea;</w:t>
      </w:r>
    </w:p>
    <w:p w:rsidR="00393B88" w:rsidRDefault="00D96C47">
      <w:pPr>
        <w:numPr>
          <w:ilvl w:val="0"/>
          <w:numId w:val="3"/>
        </w:numPr>
        <w:shd w:val="clear" w:color="auto" w:fill="FFFFFF"/>
        <w:tabs>
          <w:tab w:val="clear" w:pos="720"/>
          <w:tab w:val="left" w:pos="284"/>
          <w:tab w:val="left" w:pos="851"/>
        </w:tabs>
        <w:ind w:left="0" w:hanging="11"/>
        <w:jc w:val="both"/>
      </w:pPr>
      <w:r>
        <w:rPr>
          <w:sz w:val="24"/>
          <w:szCs w:val="24"/>
        </w:rPr>
        <w:t>non sono intervenuti eventi da rendere necessario l’aggiornamento del documento già approvato;</w:t>
      </w:r>
    </w:p>
    <w:p w:rsidR="00393B88" w:rsidRDefault="00393B88">
      <w:pPr>
        <w:jc w:val="both"/>
        <w:rPr>
          <w:sz w:val="24"/>
          <w:szCs w:val="24"/>
        </w:rPr>
      </w:pPr>
    </w:p>
    <w:p w:rsidR="00393B88" w:rsidRDefault="00D96C47">
      <w:pPr>
        <w:jc w:val="both"/>
      </w:pPr>
      <w:r>
        <w:rPr>
          <w:sz w:val="24"/>
          <w:szCs w:val="24"/>
        </w:rPr>
        <w:t>Visto il Regolamento di</w:t>
      </w:r>
      <w:r>
        <w:rPr>
          <w:sz w:val="24"/>
          <w:szCs w:val="24"/>
        </w:rPr>
        <w:t xml:space="preserve"> contabilità;</w:t>
      </w:r>
    </w:p>
    <w:p w:rsidR="00393B88" w:rsidRDefault="00393B88">
      <w:pPr>
        <w:jc w:val="both"/>
        <w:rPr>
          <w:sz w:val="24"/>
          <w:szCs w:val="24"/>
        </w:rPr>
      </w:pPr>
    </w:p>
    <w:p w:rsidR="00393B88" w:rsidRDefault="00D96C47">
      <w:pPr>
        <w:jc w:val="both"/>
      </w:pPr>
      <w:r>
        <w:rPr>
          <w:sz w:val="24"/>
          <w:szCs w:val="24"/>
        </w:rPr>
        <w:t>Visto il parere favorevole del Responsabile dell’Area Amministrativa, ai sensi dell’art. 49 comma 1 D. Lgs. n° 267/2000, in ordine alla regolarità tecnica, in atti;</w:t>
      </w:r>
    </w:p>
    <w:p w:rsidR="00393B88" w:rsidRDefault="00393B88">
      <w:pPr>
        <w:jc w:val="both"/>
        <w:rPr>
          <w:sz w:val="24"/>
          <w:szCs w:val="24"/>
        </w:rPr>
      </w:pPr>
    </w:p>
    <w:p w:rsidR="00393B88" w:rsidRDefault="00D96C47">
      <w:pPr>
        <w:jc w:val="both"/>
      </w:pPr>
      <w:r>
        <w:rPr>
          <w:sz w:val="24"/>
          <w:szCs w:val="24"/>
        </w:rPr>
        <w:t>Visto il parere favorevole del Responsabile dell’Area Contabile, ai sensi d</w:t>
      </w:r>
      <w:r>
        <w:rPr>
          <w:sz w:val="24"/>
          <w:szCs w:val="24"/>
        </w:rPr>
        <w:t>ell’art. 49 D. Lgs. n° 267/2000, in ordine alla regolarità contabile, in atti;</w:t>
      </w:r>
    </w:p>
    <w:p w:rsidR="00393B88" w:rsidRDefault="00393B88">
      <w:pPr>
        <w:jc w:val="both"/>
        <w:rPr>
          <w:sz w:val="24"/>
          <w:szCs w:val="24"/>
        </w:rPr>
      </w:pPr>
    </w:p>
    <w:p w:rsidR="00393B88" w:rsidRDefault="00D96C47">
      <w:pPr>
        <w:jc w:val="both"/>
      </w:pPr>
      <w:r>
        <w:rPr>
          <w:sz w:val="24"/>
          <w:szCs w:val="24"/>
        </w:rPr>
        <w:lastRenderedPageBreak/>
        <w:t xml:space="preserve">Considerato che il parere dell’Organo di Revisione dei conti ha espresso parere favore alla proposta di approvazione del bilancio di previsione 2023-2025 con parere registrato </w:t>
      </w:r>
      <w:r>
        <w:rPr>
          <w:sz w:val="24"/>
          <w:szCs w:val="24"/>
        </w:rPr>
        <w:t>al prot. n. del;</w:t>
      </w:r>
    </w:p>
    <w:p w:rsidR="00393B88" w:rsidRDefault="00393B88">
      <w:pPr>
        <w:jc w:val="both"/>
        <w:rPr>
          <w:sz w:val="24"/>
          <w:szCs w:val="24"/>
        </w:rPr>
      </w:pPr>
    </w:p>
    <w:p w:rsidR="00393B88" w:rsidRDefault="00D96C47">
      <w:pPr>
        <w:jc w:val="both"/>
      </w:pPr>
      <w:r>
        <w:rPr>
          <w:sz w:val="24"/>
          <w:szCs w:val="24"/>
        </w:rPr>
        <w:t>Con voti unanimi e favorevoli espressi nei modi e nelle forme di legge;</w:t>
      </w:r>
    </w:p>
    <w:p w:rsidR="00393B88" w:rsidRDefault="00393B88">
      <w:pPr>
        <w:jc w:val="both"/>
        <w:rPr>
          <w:sz w:val="24"/>
          <w:szCs w:val="24"/>
        </w:rPr>
      </w:pPr>
    </w:p>
    <w:p w:rsidR="00393B88" w:rsidRDefault="00D96C47">
      <w:pPr>
        <w:jc w:val="center"/>
      </w:pPr>
      <w:r>
        <w:rPr>
          <w:sz w:val="24"/>
          <w:szCs w:val="24"/>
        </w:rPr>
        <w:t>DELIBERA</w:t>
      </w:r>
    </w:p>
    <w:p w:rsidR="00393B88" w:rsidRDefault="00393B88">
      <w:pPr>
        <w:rPr>
          <w:sz w:val="24"/>
          <w:szCs w:val="24"/>
        </w:rPr>
      </w:pPr>
    </w:p>
    <w:p w:rsidR="00393B88" w:rsidRDefault="00D96C47">
      <w:pPr>
        <w:numPr>
          <w:ilvl w:val="1"/>
          <w:numId w:val="2"/>
        </w:numPr>
        <w:suppressAutoHyphens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approvare la premessa come parte integrante e sostanziale dell’atto;</w:t>
      </w:r>
    </w:p>
    <w:p w:rsidR="00393B88" w:rsidRDefault="00393B88">
      <w:pPr>
        <w:suppressAutoHyphens/>
        <w:ind w:left="284"/>
        <w:jc w:val="both"/>
      </w:pPr>
    </w:p>
    <w:p w:rsidR="00393B88" w:rsidRDefault="00D96C47">
      <w:pPr>
        <w:numPr>
          <w:ilvl w:val="1"/>
          <w:numId w:val="2"/>
        </w:numPr>
        <w:suppressAutoHyphens/>
        <w:ind w:left="284" w:hanging="284"/>
        <w:jc w:val="both"/>
      </w:pPr>
      <w:r>
        <w:rPr>
          <w:sz w:val="24"/>
          <w:szCs w:val="24"/>
        </w:rPr>
        <w:t>di approvare, ai sensi dell’art. 174, comma 1, del D. Lgs. n. 267/2000 e dell’art.</w:t>
      </w:r>
      <w:r>
        <w:rPr>
          <w:sz w:val="24"/>
          <w:szCs w:val="24"/>
        </w:rPr>
        <w:t xml:space="preserve"> 10, comma 15, del D. Lgs. n. 118/2011, lo schema del bilancio di previsione finanziario 2023-2025, redatto secondo l’allegato 9 al D.Lgs. n. 118/2011 e ss.mm.ii.;</w:t>
      </w:r>
    </w:p>
    <w:p w:rsidR="00393B88" w:rsidRDefault="00393B88">
      <w:pPr>
        <w:ind w:left="284"/>
        <w:jc w:val="both"/>
        <w:rPr>
          <w:sz w:val="24"/>
          <w:szCs w:val="24"/>
        </w:rPr>
      </w:pPr>
    </w:p>
    <w:p w:rsidR="00393B88" w:rsidRDefault="00D96C47">
      <w:pPr>
        <w:numPr>
          <w:ilvl w:val="1"/>
          <w:numId w:val="2"/>
        </w:numPr>
        <w:suppressAutoHyphens/>
        <w:ind w:left="284" w:hanging="284"/>
        <w:jc w:val="both"/>
      </w:pPr>
      <w:r>
        <w:rPr>
          <w:sz w:val="24"/>
          <w:szCs w:val="24"/>
        </w:rPr>
        <w:t>di dare atto che lo schema di bilancio di previsione 2023-2025 presenta le seguenti risulta</w:t>
      </w:r>
      <w:r>
        <w:rPr>
          <w:sz w:val="24"/>
          <w:szCs w:val="24"/>
        </w:rPr>
        <w:t>nze finali;</w:t>
      </w:r>
    </w:p>
    <w:p w:rsidR="00393B88" w:rsidRDefault="00393B88">
      <w:pPr>
        <w:jc w:val="both"/>
        <w:rPr>
          <w:sz w:val="24"/>
          <w:szCs w:val="24"/>
        </w:rPr>
      </w:pPr>
    </w:p>
    <w:tbl>
      <w:tblPr>
        <w:tblStyle w:val="TableNormal"/>
        <w:tblW w:w="5000" w:type="pct"/>
        <w:tblCellMar>
          <w:left w:w="108" w:type="dxa"/>
          <w:right w:w="108" w:type="dxa"/>
        </w:tblCellMar>
        <w:tblLook w:val="01E0"/>
      </w:tblPr>
      <w:tblGrid>
        <w:gridCol w:w="2234"/>
        <w:gridCol w:w="2694"/>
        <w:gridCol w:w="1561"/>
        <w:gridCol w:w="1561"/>
        <w:gridCol w:w="1804"/>
      </w:tblGrid>
      <w:tr w:rsidR="00393B88">
        <w:trPr>
          <w:trHeight w:val="234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</w:tcPr>
          <w:p w:rsidR="00393B88" w:rsidRDefault="00D96C47">
            <w:pPr>
              <w:pStyle w:val="TableParagraph"/>
              <w:spacing w:line="179" w:lineRule="exact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ENTRATE</w:t>
            </w:r>
            <w:r>
              <w:rPr>
                <w:b/>
                <w:spacing w:val="-5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E</w:t>
            </w:r>
            <w:r>
              <w:rPr>
                <w:b/>
                <w:spacing w:val="-3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SPESE</w:t>
            </w:r>
            <w:r>
              <w:rPr>
                <w:b/>
                <w:spacing w:val="-3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PER</w:t>
            </w:r>
            <w:r>
              <w:rPr>
                <w:b/>
                <w:spacing w:val="-3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TITOLI</w:t>
            </w:r>
            <w:r>
              <w:rPr>
                <w:b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DI</w:t>
            </w:r>
            <w:proofErr w:type="spellEnd"/>
            <w:r>
              <w:rPr>
                <w:b/>
                <w:spacing w:val="-5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BILANCIO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</w:tcPr>
          <w:p w:rsidR="00393B88" w:rsidRDefault="00D96C47">
            <w:pPr>
              <w:pStyle w:val="TableParagraph"/>
              <w:spacing w:line="179" w:lineRule="exact"/>
              <w:ind w:left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PREVISIONI</w:t>
            </w:r>
            <w:r>
              <w:rPr>
                <w:b/>
                <w:spacing w:val="-4"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2023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</w:tcPr>
          <w:p w:rsidR="00393B88" w:rsidRDefault="00D96C47">
            <w:pPr>
              <w:pStyle w:val="TableParagraph"/>
              <w:spacing w:line="179" w:lineRule="exact"/>
              <w:ind w:left="0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  <w:lang w:val="en-US"/>
              </w:rPr>
              <w:t>PREVISIONI</w:t>
            </w:r>
            <w:r>
              <w:rPr>
                <w:b/>
                <w:spacing w:val="-8"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2024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8D8D8"/>
          </w:tcPr>
          <w:p w:rsidR="00393B88" w:rsidRDefault="00D96C47">
            <w:pPr>
              <w:pStyle w:val="TableParagraph"/>
              <w:spacing w:line="179" w:lineRule="exact"/>
              <w:ind w:left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PREVISIONI</w:t>
            </w:r>
            <w:r>
              <w:rPr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2025</w:t>
            </w:r>
          </w:p>
        </w:tc>
      </w:tr>
      <w:tr w:rsidR="00393B88">
        <w:trPr>
          <w:trHeight w:val="394"/>
        </w:trPr>
        <w:tc>
          <w:tcPr>
            <w:tcW w:w="21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Utilizzo avanzo presunto di amministrazione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393B88">
            <w:pPr>
              <w:pStyle w:val="TableParagraph"/>
              <w:spacing w:before="1" w:line="240" w:lineRule="auto"/>
              <w:rPr>
                <w:sz w:val="16"/>
                <w:szCs w:val="16"/>
              </w:rPr>
            </w:pPr>
          </w:p>
        </w:tc>
        <w:tc>
          <w:tcPr>
            <w:tcW w:w="15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  <w:tc>
          <w:tcPr>
            <w:tcW w:w="15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  <w:tc>
          <w:tcPr>
            <w:tcW w:w="176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</w:tr>
      <w:tr w:rsidR="00393B88">
        <w:trPr>
          <w:trHeight w:val="292"/>
        </w:trPr>
        <w:tc>
          <w:tcPr>
            <w:tcW w:w="2185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Fondo pluriennale vincolato</w:t>
            </w:r>
          </w:p>
        </w:tc>
        <w:tc>
          <w:tcPr>
            <w:tcW w:w="26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393B88">
            <w:pPr>
              <w:pStyle w:val="TableParagraph"/>
              <w:spacing w:before="1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15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  <w:tc>
          <w:tcPr>
            <w:tcW w:w="15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  <w:tc>
          <w:tcPr>
            <w:tcW w:w="176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</w:tr>
      <w:tr w:rsidR="00393B88">
        <w:trPr>
          <w:trHeight w:val="306"/>
        </w:trPr>
        <w:tc>
          <w:tcPr>
            <w:tcW w:w="2185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Titolo</w:t>
            </w:r>
            <w:r>
              <w:rPr>
                <w:spacing w:val="-4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26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before="1"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Entrate</w:t>
            </w:r>
            <w:r>
              <w:rPr>
                <w:spacing w:val="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correnti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di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natura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tributaria,</w:t>
            </w:r>
            <w:r>
              <w:rPr>
                <w:spacing w:val="-3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contributiva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perequativa</w:t>
            </w:r>
          </w:p>
        </w:tc>
        <w:tc>
          <w:tcPr>
            <w:tcW w:w="15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  <w:tc>
          <w:tcPr>
            <w:tcW w:w="15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  <w:tc>
          <w:tcPr>
            <w:tcW w:w="176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</w:tr>
      <w:tr w:rsidR="00393B88">
        <w:trPr>
          <w:trHeight w:val="223"/>
        </w:trPr>
        <w:tc>
          <w:tcPr>
            <w:tcW w:w="21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Titolo</w:t>
            </w:r>
            <w:r>
              <w:rPr>
                <w:spacing w:val="-4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Trasferimenti</w:t>
            </w:r>
            <w:r>
              <w:rPr>
                <w:spacing w:val="-7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correnti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  <w:lang w:val="en-US"/>
              </w:rPr>
              <w:t>€</w:t>
            </w:r>
            <w:r>
              <w:rPr>
                <w:spacing w:val="-6"/>
                <w:sz w:val="16"/>
                <w:szCs w:val="16"/>
                <w:lang w:val="en-US"/>
              </w:rPr>
              <w:t xml:space="preserve"> 360.718,35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  <w:lang w:val="en-US"/>
              </w:rPr>
              <w:t>€</w:t>
            </w:r>
            <w:r>
              <w:rPr>
                <w:spacing w:val="-6"/>
                <w:sz w:val="16"/>
                <w:szCs w:val="16"/>
                <w:lang w:val="en-US"/>
              </w:rPr>
              <w:t xml:space="preserve"> 350.305,21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  <w:lang w:val="en-US"/>
              </w:rPr>
              <w:t>€</w:t>
            </w:r>
            <w:r>
              <w:rPr>
                <w:spacing w:val="-6"/>
                <w:sz w:val="16"/>
                <w:szCs w:val="16"/>
                <w:lang w:val="en-US"/>
              </w:rPr>
              <w:t xml:space="preserve"> 322.040,79</w:t>
            </w:r>
          </w:p>
        </w:tc>
      </w:tr>
      <w:tr w:rsidR="00393B88">
        <w:trPr>
          <w:trHeight w:val="222"/>
        </w:trPr>
        <w:tc>
          <w:tcPr>
            <w:tcW w:w="21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5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Titolo</w:t>
            </w:r>
            <w:r>
              <w:rPr>
                <w:spacing w:val="-4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5" w:lineRule="exac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Entrate</w:t>
            </w:r>
            <w:r>
              <w:rPr>
                <w:spacing w:val="-3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extra</w:t>
            </w:r>
            <w:r>
              <w:rPr>
                <w:spacing w:val="-3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tributarie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5" w:lineRule="exac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5" w:lineRule="exac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5" w:lineRule="exac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</w:tr>
      <w:tr w:rsidR="00393B88">
        <w:trPr>
          <w:trHeight w:val="222"/>
        </w:trPr>
        <w:tc>
          <w:tcPr>
            <w:tcW w:w="21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Titolo</w:t>
            </w:r>
            <w:r>
              <w:rPr>
                <w:spacing w:val="-4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Entrate</w:t>
            </w:r>
            <w:r>
              <w:rPr>
                <w:spacing w:val="-2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in</w:t>
            </w:r>
            <w:r>
              <w:rPr>
                <w:spacing w:val="-1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conto</w:t>
            </w:r>
            <w:r>
              <w:rPr>
                <w:spacing w:val="-2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capitale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€ 5.000,00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€ 5.000,00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€ 5.000,00</w:t>
            </w:r>
          </w:p>
        </w:tc>
      </w:tr>
      <w:tr w:rsidR="00393B88">
        <w:trPr>
          <w:trHeight w:val="237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Titolo</w:t>
            </w:r>
            <w:r>
              <w:rPr>
                <w:spacing w:val="-4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Entrate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per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conto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terzi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partite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di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giro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€ 120.000,00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€ 120.000,00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€ 120.000,00</w:t>
            </w:r>
          </w:p>
        </w:tc>
      </w:tr>
      <w:tr w:rsidR="00393B88">
        <w:trPr>
          <w:trHeight w:val="192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8D8D8"/>
          </w:tcPr>
          <w:p w:rsidR="00393B88" w:rsidRDefault="00D96C47">
            <w:pPr>
              <w:pStyle w:val="TableParagraph"/>
              <w:spacing w:line="172" w:lineRule="exact"/>
              <w:rPr>
                <w:b/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  <w:lang w:val="en-US"/>
              </w:rPr>
              <w:t>TOTALE</w:t>
            </w:r>
            <w:r>
              <w:rPr>
                <w:b/>
                <w:spacing w:val="-9"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  <w:lang w:val="en-US"/>
              </w:rPr>
              <w:t>ENTRATE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8D8D8"/>
          </w:tcPr>
          <w:p w:rsidR="00393B88" w:rsidRDefault="00D96C47">
            <w:pPr>
              <w:pStyle w:val="TableParagraph"/>
              <w:spacing w:line="172" w:lineRule="exact"/>
              <w:ind w:left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val="en-US"/>
              </w:rPr>
              <w:t>485.718,35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8D8D8"/>
          </w:tcPr>
          <w:p w:rsidR="00393B88" w:rsidRDefault="00D96C47">
            <w:pPr>
              <w:pStyle w:val="TableParagraph"/>
              <w:spacing w:line="172" w:lineRule="exact"/>
              <w:ind w:left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val="en-US"/>
              </w:rPr>
              <w:t>475.305,21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393B88" w:rsidRDefault="00D96C47">
            <w:pPr>
              <w:pStyle w:val="TableParagraph"/>
              <w:spacing w:line="172" w:lineRule="exact"/>
              <w:ind w:left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val="en-US"/>
              </w:rPr>
              <w:t>447.040,79</w:t>
            </w:r>
          </w:p>
        </w:tc>
      </w:tr>
      <w:tr w:rsidR="00393B88">
        <w:trPr>
          <w:trHeight w:val="225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Disavanzo di amministrazione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B88" w:rsidRDefault="00393B88">
            <w:pPr>
              <w:pStyle w:val="TableParagraph"/>
              <w:spacing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€ 38.677,56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€ 28.264,42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</w:tr>
      <w:tr w:rsidR="00393B88">
        <w:trPr>
          <w:trHeight w:val="225"/>
        </w:trPr>
        <w:tc>
          <w:tcPr>
            <w:tcW w:w="2185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Titolo</w:t>
            </w:r>
            <w:r>
              <w:rPr>
                <w:spacing w:val="-4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2635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Spese</w:t>
            </w:r>
            <w:r>
              <w:rPr>
                <w:spacing w:val="-1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correnti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  <w:lang w:val="en-US"/>
              </w:rPr>
              <w:t>€</w:t>
            </w:r>
            <w:r>
              <w:rPr>
                <w:spacing w:val="-6"/>
                <w:sz w:val="16"/>
                <w:szCs w:val="16"/>
                <w:lang w:val="en-US"/>
              </w:rPr>
              <w:t xml:space="preserve"> </w:t>
            </w:r>
            <w:r>
              <w:rPr>
                <w:rFonts w:eastAsiaTheme="minorHAnsi"/>
                <w:spacing w:val="-6"/>
                <w:sz w:val="16"/>
                <w:szCs w:val="16"/>
                <w:lang w:val="en-US"/>
              </w:rPr>
              <w:t>322.040,79</w:t>
            </w:r>
          </w:p>
        </w:tc>
        <w:tc>
          <w:tcPr>
            <w:tcW w:w="1527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  <w:lang w:val="en-US"/>
              </w:rPr>
              <w:t>€</w:t>
            </w:r>
            <w:r>
              <w:rPr>
                <w:spacing w:val="-6"/>
                <w:sz w:val="16"/>
                <w:szCs w:val="16"/>
                <w:lang w:val="en-US"/>
              </w:rPr>
              <w:t xml:space="preserve"> </w:t>
            </w:r>
            <w:r>
              <w:rPr>
                <w:rFonts w:eastAsiaTheme="minorHAnsi"/>
                <w:spacing w:val="-6"/>
                <w:sz w:val="16"/>
                <w:szCs w:val="16"/>
                <w:lang w:val="en-US"/>
              </w:rPr>
              <w:t>322.040,79</w:t>
            </w:r>
          </w:p>
        </w:tc>
        <w:tc>
          <w:tcPr>
            <w:tcW w:w="1764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  <w:lang w:val="en-US"/>
              </w:rPr>
              <w:t>€</w:t>
            </w:r>
            <w:r>
              <w:rPr>
                <w:spacing w:val="-6"/>
                <w:sz w:val="16"/>
                <w:szCs w:val="16"/>
                <w:lang w:val="en-US"/>
              </w:rPr>
              <w:t xml:space="preserve"> </w:t>
            </w:r>
            <w:r>
              <w:rPr>
                <w:rFonts w:eastAsiaTheme="minorHAnsi"/>
                <w:spacing w:val="-6"/>
                <w:sz w:val="16"/>
                <w:szCs w:val="16"/>
                <w:lang w:val="en-US"/>
              </w:rPr>
              <w:t>322.040,79</w:t>
            </w:r>
          </w:p>
        </w:tc>
      </w:tr>
      <w:tr w:rsidR="00393B88">
        <w:trPr>
          <w:trHeight w:val="230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9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Titolo</w:t>
            </w:r>
            <w:r>
              <w:rPr>
                <w:spacing w:val="-4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9" w:lineRule="exac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Spese</w:t>
            </w:r>
            <w:r>
              <w:rPr>
                <w:spacing w:val="-1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in</w:t>
            </w:r>
            <w:r>
              <w:rPr>
                <w:spacing w:val="-3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conto</w:t>
            </w:r>
            <w:r>
              <w:rPr>
                <w:spacing w:val="-2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capitale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9" w:lineRule="exac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€ 5.000,00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9" w:lineRule="exac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€ 5.000,00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9" w:lineRule="exac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€ 5.000,00</w:t>
            </w:r>
          </w:p>
        </w:tc>
      </w:tr>
      <w:tr w:rsidR="00393B88">
        <w:trPr>
          <w:trHeight w:val="223"/>
        </w:trPr>
        <w:tc>
          <w:tcPr>
            <w:tcW w:w="21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Titolo</w:t>
            </w:r>
            <w:r>
              <w:rPr>
                <w:spacing w:val="-4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Rimborso</w:t>
            </w:r>
            <w:r>
              <w:rPr>
                <w:spacing w:val="-1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di</w:t>
            </w:r>
            <w:r>
              <w:rPr>
                <w:spacing w:val="-4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prestiti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€ 0,00</w:t>
            </w:r>
          </w:p>
        </w:tc>
      </w:tr>
      <w:tr w:rsidR="00393B88">
        <w:trPr>
          <w:trHeight w:val="76"/>
        </w:trPr>
        <w:tc>
          <w:tcPr>
            <w:tcW w:w="21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5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Titolo</w:t>
            </w:r>
            <w:r>
              <w:rPr>
                <w:spacing w:val="-4"/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26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5" w:lineRule="exac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Spese per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conto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terzi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partite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di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giro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5" w:lineRule="exac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€ 120.000,00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5" w:lineRule="exac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€ 120.000,00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B88" w:rsidRDefault="00D96C47">
            <w:pPr>
              <w:pStyle w:val="TableParagraph"/>
              <w:spacing w:line="175" w:lineRule="exac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€ 120.000,00</w:t>
            </w:r>
          </w:p>
        </w:tc>
      </w:tr>
      <w:tr w:rsidR="00393B88">
        <w:trPr>
          <w:trHeight w:val="182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8D8D8"/>
          </w:tcPr>
          <w:p w:rsidR="00393B88" w:rsidRDefault="00D96C47">
            <w:pPr>
              <w:pStyle w:val="TableParagraph"/>
              <w:spacing w:line="162" w:lineRule="exac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TOTALE</w:t>
            </w:r>
            <w:r>
              <w:rPr>
                <w:b/>
                <w:spacing w:val="-9"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SPESE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8D8D8"/>
          </w:tcPr>
          <w:p w:rsidR="00393B88" w:rsidRDefault="00D96C47">
            <w:pPr>
              <w:pStyle w:val="TableParagraph"/>
              <w:spacing w:line="172" w:lineRule="exact"/>
              <w:ind w:left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val="en-US"/>
              </w:rPr>
              <w:t>485.718,35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8D8D8"/>
          </w:tcPr>
          <w:p w:rsidR="00393B88" w:rsidRDefault="00D96C47">
            <w:pPr>
              <w:pStyle w:val="TableParagraph"/>
              <w:spacing w:line="172" w:lineRule="exact"/>
              <w:ind w:left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val="en-US"/>
              </w:rPr>
              <w:t>475.305,21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393B88" w:rsidRDefault="00D96C47">
            <w:pPr>
              <w:pStyle w:val="TableParagraph"/>
              <w:spacing w:line="172" w:lineRule="exact"/>
              <w:ind w:left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€ </w:t>
            </w:r>
            <w:r>
              <w:rPr>
                <w:rFonts w:eastAsiaTheme="minorHAnsi"/>
                <w:b/>
                <w:bCs/>
                <w:sz w:val="16"/>
                <w:szCs w:val="16"/>
                <w:lang w:val="en-US"/>
              </w:rPr>
              <w:t>447.040,79</w:t>
            </w:r>
          </w:p>
        </w:tc>
      </w:tr>
    </w:tbl>
    <w:p w:rsidR="00393B88" w:rsidRDefault="00393B88">
      <w:pPr>
        <w:jc w:val="both"/>
        <w:rPr>
          <w:sz w:val="24"/>
          <w:szCs w:val="24"/>
        </w:rPr>
      </w:pPr>
    </w:p>
    <w:p w:rsidR="00393B88" w:rsidRDefault="00D96C47">
      <w:pPr>
        <w:jc w:val="both"/>
      </w:pPr>
      <w:r>
        <w:rPr>
          <w:sz w:val="24"/>
          <w:szCs w:val="24"/>
        </w:rPr>
        <w:t>4. di pubblicare il presente atto all’Albo pretorio dell’ente;</w:t>
      </w:r>
    </w:p>
    <w:p w:rsidR="00393B88" w:rsidRDefault="00393B88">
      <w:pPr>
        <w:jc w:val="both"/>
        <w:rPr>
          <w:sz w:val="24"/>
          <w:szCs w:val="24"/>
        </w:rPr>
      </w:pPr>
    </w:p>
    <w:p w:rsidR="00393B88" w:rsidRDefault="00393B88">
      <w:pPr>
        <w:jc w:val="both"/>
      </w:pPr>
    </w:p>
    <w:p w:rsidR="00393B88" w:rsidRDefault="00D96C47">
      <w:pPr>
        <w:jc w:val="both"/>
      </w:pPr>
      <w:r>
        <w:rPr>
          <w:sz w:val="24"/>
          <w:szCs w:val="24"/>
        </w:rPr>
        <w:t>Successivamente, ravvisata l’urgenza, con separata votazione</w:t>
      </w:r>
    </w:p>
    <w:p w:rsidR="00393B88" w:rsidRDefault="00393B88">
      <w:pPr>
        <w:jc w:val="both"/>
        <w:rPr>
          <w:sz w:val="24"/>
          <w:szCs w:val="24"/>
        </w:rPr>
      </w:pPr>
    </w:p>
    <w:p w:rsidR="00393B88" w:rsidRDefault="00393B88">
      <w:pPr>
        <w:jc w:val="both"/>
        <w:rPr>
          <w:sz w:val="24"/>
          <w:szCs w:val="24"/>
        </w:rPr>
      </w:pPr>
    </w:p>
    <w:p w:rsidR="00393B88" w:rsidRDefault="00D96C47">
      <w:pPr>
        <w:jc w:val="center"/>
      </w:pPr>
      <w:r>
        <w:rPr>
          <w:sz w:val="24"/>
          <w:szCs w:val="24"/>
        </w:rPr>
        <w:t>DELIBERA</w:t>
      </w:r>
    </w:p>
    <w:p w:rsidR="00393B88" w:rsidRDefault="00393B88">
      <w:pPr>
        <w:jc w:val="center"/>
        <w:rPr>
          <w:b/>
          <w:bCs/>
          <w:sz w:val="24"/>
          <w:szCs w:val="24"/>
        </w:rPr>
      </w:pPr>
    </w:p>
    <w:p w:rsidR="00393B88" w:rsidRDefault="00D96C47">
      <w:r>
        <w:rPr>
          <w:sz w:val="24"/>
          <w:szCs w:val="24"/>
        </w:rPr>
        <w:t xml:space="preserve">di dichiarare l’immediata eseguibilità ai sensi dell’art. 134 comma 4, D. Lgs. </w:t>
      </w:r>
      <w:r>
        <w:rPr>
          <w:sz w:val="24"/>
          <w:szCs w:val="24"/>
        </w:rPr>
        <w:t>n. 267/2000</w:t>
      </w:r>
    </w:p>
    <w:sectPr w:rsidR="00393B88" w:rsidSect="00393B88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60AC1"/>
    <w:multiLevelType w:val="multilevel"/>
    <w:tmpl w:val="64905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4130027A"/>
    <w:multiLevelType w:val="multilevel"/>
    <w:tmpl w:val="5600D868"/>
    <w:lvl w:ilvl="0">
      <w:start w:val="1"/>
      <w:numFmt w:val="lowerLetter"/>
      <w:lvlText w:val="%1)"/>
      <w:lvlJc w:val="left"/>
      <w:pPr>
        <w:ind w:left="720" w:hanging="360"/>
      </w:pPr>
      <w:rPr>
        <w:rFonts w:cs="Georgia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83498"/>
    <w:multiLevelType w:val="multilevel"/>
    <w:tmpl w:val="AFC253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CF0595E"/>
    <w:multiLevelType w:val="multilevel"/>
    <w:tmpl w:val="86561FFC"/>
    <w:lvl w:ilvl="0">
      <w:start w:val="1"/>
      <w:numFmt w:val="lowerLetter"/>
      <w:lvlText w:val="%1)"/>
      <w:lvlJc w:val="left"/>
      <w:pPr>
        <w:ind w:left="720" w:hanging="360"/>
      </w:pPr>
      <w:rPr>
        <w:rFonts w:cs="Georgia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DA2B95"/>
    <w:multiLevelType w:val="multilevel"/>
    <w:tmpl w:val="58042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393B88"/>
    <w:rsid w:val="00393B88"/>
    <w:rsid w:val="00D96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245D"/>
    <w:rPr>
      <w:rFonts w:ascii="Times New Roman" w:eastAsia="Times New Roman" w:hAnsi="Times New Roman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link w:val="Titolo1Carattere"/>
    <w:qFormat/>
    <w:rsid w:val="00E1245D"/>
    <w:pPr>
      <w:keepNext/>
      <w:jc w:val="center"/>
      <w:outlineLvl w:val="0"/>
    </w:pPr>
    <w:rPr>
      <w:b/>
    </w:rPr>
  </w:style>
  <w:style w:type="character" w:customStyle="1" w:styleId="Titolo1Carattere">
    <w:name w:val="Titolo 1 Carattere"/>
    <w:basedOn w:val="Carpredefinitoparagrafo"/>
    <w:link w:val="Heading1"/>
    <w:qFormat/>
    <w:rsid w:val="00E1245D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FB3723"/>
    <w:rPr>
      <w:color w:val="0000FF"/>
      <w:u w:val="single"/>
    </w:rPr>
  </w:style>
  <w:style w:type="character" w:customStyle="1" w:styleId="Punti">
    <w:name w:val="Punti"/>
    <w:qFormat/>
    <w:rsid w:val="00393B88"/>
    <w:rPr>
      <w:rFonts w:ascii="OpenSymbol" w:eastAsia="OpenSymbol" w:hAnsi="OpenSymbol" w:cs="OpenSymbol"/>
    </w:rPr>
  </w:style>
  <w:style w:type="paragraph" w:styleId="Titolo">
    <w:name w:val="Title"/>
    <w:basedOn w:val="Normale"/>
    <w:next w:val="Corpodeltesto"/>
    <w:qFormat/>
    <w:rsid w:val="00393B8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393B88"/>
    <w:pPr>
      <w:spacing w:after="140" w:line="276" w:lineRule="auto"/>
    </w:pPr>
  </w:style>
  <w:style w:type="paragraph" w:styleId="Elenco">
    <w:name w:val="List"/>
    <w:basedOn w:val="Corpodeltesto"/>
    <w:rsid w:val="00393B88"/>
    <w:rPr>
      <w:rFonts w:cs="Lucida Sans"/>
    </w:rPr>
  </w:style>
  <w:style w:type="paragraph" w:customStyle="1" w:styleId="Caption">
    <w:name w:val="Caption"/>
    <w:basedOn w:val="Normale"/>
    <w:qFormat/>
    <w:rsid w:val="00393B8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393B88"/>
    <w:pPr>
      <w:suppressLineNumbers/>
    </w:pPr>
    <w:rPr>
      <w:rFonts w:cs="Lucida Sans"/>
    </w:rPr>
  </w:style>
  <w:style w:type="paragraph" w:customStyle="1" w:styleId="TableParagraph">
    <w:name w:val="Table Paragraph"/>
    <w:basedOn w:val="Normale"/>
    <w:uiPriority w:val="1"/>
    <w:qFormat/>
    <w:rsid w:val="00E1245D"/>
    <w:pPr>
      <w:widowControl w:val="0"/>
      <w:spacing w:line="178" w:lineRule="exact"/>
      <w:ind w:left="182"/>
    </w:pPr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qFormat/>
    <w:rsid w:val="00FB3723"/>
    <w:pPr>
      <w:spacing w:beforeAutospacing="1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B3723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__doPostBack('ctl00$ContentPlaceHolder1$RicercaAtti1$GridViewAtti$ctl02$ctl04','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757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PROTOCOLLO</dc:creator>
  <dc:description/>
  <cp:lastModifiedBy>PROTOCOLLO</cp:lastModifiedBy>
  <cp:revision>16</cp:revision>
  <dcterms:created xsi:type="dcterms:W3CDTF">2022-10-15T08:19:00Z</dcterms:created>
  <dcterms:modified xsi:type="dcterms:W3CDTF">2022-11-10T09:32:00Z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